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3808B5" w:rsidRDefault="00F97D0F" w:rsidP="00F97D0F">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2914D6" w:rsidRDefault="002914D6">
            <w:pPr>
              <w:rPr>
                <w:rFonts w:ascii="Arial" w:hAnsi="Arial"/>
                <w:b/>
                <w:bCs/>
                <w:noProof w:val="0"/>
                <w:sz w:val="26"/>
                <w:szCs w:val="26"/>
              </w:rPr>
            </w:pPr>
          </w:p>
          <w:p w:rsidR="002914D6" w:rsidRPr="00F97D0F" w:rsidRDefault="001A594A" w:rsidP="001A594A">
            <w:pPr>
              <w:rPr>
                <w:b/>
                <w:bCs/>
                <w:noProof w:val="0"/>
                <w:sz w:val="26"/>
                <w:szCs w:val="26"/>
              </w:rPr>
            </w:pPr>
            <w:r>
              <w:rPr>
                <w:rFonts w:ascii="Arial" w:hAnsi="Arial" w:hint="cs"/>
                <w:b/>
                <w:bCs/>
                <w:noProof w:val="0"/>
                <w:sz w:val="26"/>
                <w:szCs w:val="26"/>
                <w:rtl/>
              </w:rPr>
              <w:t>פלונית</w:t>
            </w:r>
            <w:sdt>
              <w:sdtPr>
                <w:rPr>
                  <w:rtl/>
                </w:rPr>
                <w:alias w:val="2318"/>
                <w:tag w:val="2318"/>
                <w:id w:val="-282733546"/>
                <w:text w:multiLine="1"/>
              </w:sdtPr>
              <w:sdtEndPr/>
              <w:sdtContent>
                <w:r w:rsidR="00F97D0F">
                  <w:rPr>
                    <w:rFonts w:ascii="Arial" w:hAnsi="Arial"/>
                    <w:b/>
                    <w:bCs/>
                    <w:noProof w:val="0"/>
                    <w:sz w:val="26"/>
                    <w:szCs w:val="26"/>
                    <w:rtl/>
                  </w:rPr>
                  <w:br/>
                </w:r>
                <w:r w:rsidR="00F97D0F">
                  <w:rPr>
                    <w:rFonts w:hint="cs"/>
                    <w:rtl/>
                  </w:rPr>
                  <w:t>ע"י ב"כ עוה"ד ישראל קדמי</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07769A" w:rsidP="00F97D0F">
            <w:pPr>
              <w:rPr>
                <w:rFonts w:ascii="Arial" w:hAnsi="Arial"/>
                <w:b/>
                <w:bCs/>
                <w:noProof w:val="0"/>
                <w:sz w:val="26"/>
                <w:szCs w:val="26"/>
              </w:rPr>
            </w:pPr>
            <w:sdt>
              <w:sdtPr>
                <w:rPr>
                  <w:rtl/>
                </w:rPr>
                <w:alias w:val="1184"/>
                <w:tag w:val="1184"/>
                <w:id w:val="385841288"/>
                <w:text w:multiLine="1"/>
              </w:sdtPr>
              <w:sdtEndPr/>
              <w:sdtContent>
                <w:r w:rsidR="00F97D0F">
                  <w:rPr>
                    <w:rFonts w:ascii="Arial" w:hAnsi="Arial" w:hint="cs"/>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1A594A" w:rsidP="001A594A">
            <w:pPr>
              <w:rPr>
                <w:b/>
                <w:bCs/>
                <w:noProof w:val="0"/>
                <w:sz w:val="26"/>
                <w:szCs w:val="26"/>
                <w:rtl/>
              </w:rPr>
            </w:pPr>
            <w:r>
              <w:rPr>
                <w:rFonts w:ascii="Arial" w:hAnsi="Arial" w:hint="cs"/>
                <w:b/>
                <w:bCs/>
                <w:noProof w:val="0"/>
                <w:sz w:val="26"/>
                <w:szCs w:val="26"/>
                <w:rtl/>
              </w:rPr>
              <w:t>פלוני</w:t>
            </w:r>
            <w:sdt>
              <w:sdtPr>
                <w:rPr>
                  <w:rtl/>
                </w:rPr>
                <w:alias w:val="2316"/>
                <w:tag w:val="2316"/>
                <w:id w:val="-119842878"/>
                <w:text w:multiLine="1"/>
              </w:sdtPr>
              <w:sdtEndPr/>
              <w:sdtContent>
                <w:r w:rsidR="00F97D0F">
                  <w:rPr>
                    <w:rFonts w:ascii="Arial" w:hAnsi="Arial"/>
                    <w:b/>
                    <w:bCs/>
                    <w:noProof w:val="0"/>
                    <w:sz w:val="26"/>
                    <w:szCs w:val="26"/>
                    <w:rtl/>
                  </w:rPr>
                  <w:br/>
                </w:r>
                <w:r w:rsidR="00F97D0F">
                  <w:rPr>
                    <w:rFonts w:hint="cs"/>
                    <w:rtl/>
                  </w:rPr>
                  <w:t>ע"י ב"כ עוה"ד יפעת שכטר ואח'</w:t>
                </w:r>
              </w:sdtContent>
            </w:sdt>
          </w:p>
        </w:tc>
      </w:tr>
      <w:tr w:rsidR="00DA714E" w:rsidTr="00020144">
        <w:tc>
          <w:tcPr>
            <w:tcW w:w="8820" w:type="dxa"/>
            <w:gridSpan w:val="3"/>
          </w:tcPr>
          <w:p w:rsidR="00DA714E" w:rsidRDefault="00DA714E" w:rsidP="00F97D0F">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F97D0F">
        <w:trPr>
          <w:jc w:val="center"/>
        </w:trPr>
        <w:tc>
          <w:tcPr>
            <w:tcW w:w="8820" w:type="dxa"/>
          </w:tcPr>
          <w:p w:rsidR="002914D6" w:rsidRPr="00F97D0F" w:rsidRDefault="002914D6">
            <w:pPr>
              <w:bidi w:val="0"/>
              <w:jc w:val="center"/>
              <w:rPr>
                <w:rFonts w:ascii="Arial" w:hAnsi="Arial"/>
                <w:b/>
                <w:bCs/>
                <w:i/>
                <w:iCs/>
                <w:noProof w:val="0"/>
                <w:sz w:val="36"/>
                <w:szCs w:val="36"/>
              </w:rPr>
            </w:pPr>
          </w:p>
          <w:p w:rsidR="002914D6" w:rsidRPr="00F97D0F" w:rsidRDefault="00530E94">
            <w:pPr>
              <w:bidi w:val="0"/>
              <w:jc w:val="center"/>
              <w:rPr>
                <w:rFonts w:ascii="Arial" w:hAnsi="Arial"/>
                <w:b/>
                <w:bCs/>
                <w:i/>
                <w:iCs/>
                <w:noProof w:val="0"/>
                <w:sz w:val="36"/>
                <w:szCs w:val="36"/>
                <w:u w:val="single"/>
              </w:rPr>
            </w:pPr>
            <w:r w:rsidRPr="00F97D0F">
              <w:rPr>
                <w:rFonts w:ascii="Arial" w:hAnsi="Arial" w:hint="cs"/>
                <w:b/>
                <w:bCs/>
                <w:i/>
                <w:iCs/>
                <w:noProof w:val="0"/>
                <w:sz w:val="36"/>
                <w:szCs w:val="36"/>
                <w:u w:val="single"/>
                <w:rtl/>
              </w:rPr>
              <w:t>החלטה</w:t>
            </w:r>
          </w:p>
        </w:tc>
      </w:tr>
    </w:tbl>
    <w:p w:rsidR="00F97D0F" w:rsidRDefault="00F97D0F" w:rsidP="00F97D0F">
      <w:pPr>
        <w:spacing w:line="360" w:lineRule="auto"/>
        <w:jc w:val="both"/>
        <w:rPr>
          <w:rFonts w:ascii="David" w:hAnsi="David"/>
          <w:rtl/>
        </w:rPr>
      </w:pPr>
    </w:p>
    <w:p w:rsidR="00F97D0F" w:rsidRDefault="00F97D0F" w:rsidP="00F97D0F">
      <w:pPr>
        <w:spacing w:line="360" w:lineRule="auto"/>
        <w:jc w:val="both"/>
        <w:rPr>
          <w:rFonts w:ascii="David" w:hAnsi="David"/>
          <w:noProof w:val="0"/>
        </w:rPr>
      </w:pPr>
      <w:r>
        <w:rPr>
          <w:rFonts w:ascii="David" w:hAnsi="David"/>
          <w:rtl/>
        </w:rPr>
        <w:t>לפניי בקשה למחיקת התביעה על הסף (להלן: "</w:t>
      </w:r>
      <w:r>
        <w:rPr>
          <w:rFonts w:ascii="David" w:hAnsi="David"/>
          <w:b/>
          <w:bCs/>
          <w:rtl/>
        </w:rPr>
        <w:t>הבקשה</w:t>
      </w:r>
      <w:r>
        <w:rPr>
          <w:rFonts w:ascii="David" w:hAnsi="David"/>
          <w:rtl/>
        </w:rPr>
        <w:t>").</w:t>
      </w:r>
    </w:p>
    <w:p w:rsidR="00F97D0F" w:rsidRDefault="00F97D0F" w:rsidP="00F97D0F">
      <w:pPr>
        <w:spacing w:line="360" w:lineRule="auto"/>
        <w:jc w:val="both"/>
        <w:rPr>
          <w:rFonts w:ascii="David" w:hAnsi="David"/>
          <w:rtl/>
        </w:rPr>
      </w:pPr>
    </w:p>
    <w:p w:rsidR="00F97D0F" w:rsidRDefault="00F97D0F" w:rsidP="00F97D0F">
      <w:pPr>
        <w:spacing w:line="360" w:lineRule="auto"/>
        <w:jc w:val="both"/>
        <w:rPr>
          <w:rFonts w:ascii="David" w:hAnsi="David"/>
          <w:rtl/>
        </w:rPr>
      </w:pPr>
      <w:r>
        <w:rPr>
          <w:rFonts w:ascii="David" w:hAnsi="David"/>
          <w:rtl/>
        </w:rPr>
        <w:t>הבקשה הוגשה על ידי הנתבעת (להלן: "</w:t>
      </w:r>
      <w:r>
        <w:rPr>
          <w:rFonts w:ascii="David" w:hAnsi="David"/>
          <w:b/>
          <w:bCs/>
          <w:rtl/>
        </w:rPr>
        <w:t>המבקשת</w:t>
      </w:r>
      <w:r>
        <w:rPr>
          <w:rFonts w:ascii="David" w:hAnsi="David"/>
          <w:rtl/>
        </w:rPr>
        <w:t>") במסגרת תביעת התובע (להלן: "</w:t>
      </w:r>
      <w:r>
        <w:rPr>
          <w:rFonts w:ascii="David" w:hAnsi="David"/>
          <w:b/>
          <w:bCs/>
          <w:rtl/>
        </w:rPr>
        <w:t>המשיב</w:t>
      </w:r>
      <w:r>
        <w:rPr>
          <w:rFonts w:ascii="David" w:hAnsi="David"/>
          <w:rtl/>
        </w:rPr>
        <w:t>") לקביעת מזונות ואופן הנשיאה בהם בין ההורים (להלן: "</w:t>
      </w:r>
      <w:r>
        <w:rPr>
          <w:rFonts w:ascii="David" w:hAnsi="David"/>
          <w:b/>
          <w:bCs/>
          <w:rtl/>
        </w:rPr>
        <w:t>התביעה</w:t>
      </w:r>
      <w:r>
        <w:rPr>
          <w:rFonts w:ascii="David" w:hAnsi="David"/>
          <w:rtl/>
        </w:rPr>
        <w:t>").</w:t>
      </w:r>
    </w:p>
    <w:p w:rsidR="00F97D0F" w:rsidRDefault="00F97D0F" w:rsidP="00F97D0F">
      <w:pPr>
        <w:spacing w:line="360" w:lineRule="auto"/>
        <w:jc w:val="both"/>
        <w:rPr>
          <w:rFonts w:ascii="David" w:hAnsi="David"/>
          <w:rtl/>
        </w:rPr>
      </w:pPr>
    </w:p>
    <w:p w:rsidR="00F97D0F" w:rsidRDefault="00F97D0F" w:rsidP="00F97D0F">
      <w:pPr>
        <w:spacing w:line="360" w:lineRule="auto"/>
        <w:jc w:val="both"/>
        <w:rPr>
          <w:rFonts w:ascii="David" w:hAnsi="David"/>
          <w:b/>
          <w:bCs/>
          <w:u w:val="single"/>
          <w:rtl/>
        </w:rPr>
      </w:pPr>
      <w:r>
        <w:rPr>
          <w:rFonts w:ascii="David" w:hAnsi="David"/>
          <w:b/>
          <w:bCs/>
          <w:u w:val="single"/>
          <w:rtl/>
        </w:rPr>
        <w:t>רקע עובדתי רלוונטי</w:t>
      </w:r>
    </w:p>
    <w:p w:rsidR="00F97D0F" w:rsidRDefault="00F97D0F" w:rsidP="00F97D0F">
      <w:pPr>
        <w:spacing w:line="360" w:lineRule="auto"/>
        <w:jc w:val="both"/>
        <w:rPr>
          <w:rFonts w:ascii="David" w:hAnsi="David"/>
          <w:u w:val="single"/>
          <w:rtl/>
        </w:rPr>
      </w:pPr>
    </w:p>
    <w:p w:rsidR="00F97D0F" w:rsidRDefault="00F97D0F" w:rsidP="001A594A">
      <w:pPr>
        <w:pStyle w:val="ae"/>
        <w:numPr>
          <w:ilvl w:val="0"/>
          <w:numId w:val="1"/>
        </w:numPr>
        <w:spacing w:line="360" w:lineRule="auto"/>
        <w:jc w:val="both"/>
        <w:rPr>
          <w:rtl/>
        </w:rPr>
      </w:pPr>
      <w:r>
        <w:rPr>
          <w:rFonts w:hint="cs"/>
          <w:rtl/>
        </w:rPr>
        <w:t>המבקשת והמשיב (להלן: "</w:t>
      </w:r>
      <w:r>
        <w:rPr>
          <w:rFonts w:hint="cs"/>
          <w:b/>
          <w:bCs/>
          <w:rtl/>
        </w:rPr>
        <w:t>הצדדים</w:t>
      </w:r>
      <w:r>
        <w:rPr>
          <w:rFonts w:hint="cs"/>
          <w:rtl/>
        </w:rPr>
        <w:t xml:space="preserve">") נישאו זל"ז ביום </w:t>
      </w:r>
      <w:r w:rsidR="001A594A">
        <w:rPr>
          <w:rFonts w:hint="cs"/>
        </w:rPr>
        <w:t>XXX</w:t>
      </w:r>
      <w:r>
        <w:rPr>
          <w:rFonts w:hint="cs"/>
          <w:rtl/>
        </w:rPr>
        <w:t xml:space="preserve">. </w:t>
      </w:r>
    </w:p>
    <w:p w:rsidR="00F97D0F" w:rsidRDefault="00F97D0F" w:rsidP="00F97D0F">
      <w:pPr>
        <w:pStyle w:val="ae"/>
        <w:spacing w:line="360" w:lineRule="auto"/>
        <w:jc w:val="both"/>
      </w:pPr>
    </w:p>
    <w:p w:rsidR="00F97D0F" w:rsidRDefault="00F97D0F" w:rsidP="00F97D0F">
      <w:pPr>
        <w:pStyle w:val="ae"/>
        <w:numPr>
          <w:ilvl w:val="0"/>
          <w:numId w:val="1"/>
        </w:numPr>
        <w:spacing w:line="360" w:lineRule="auto"/>
        <w:jc w:val="both"/>
      </w:pPr>
      <w:r>
        <w:rPr>
          <w:rFonts w:hint="cs"/>
          <w:rtl/>
        </w:rPr>
        <w:t>כנובע מקשר הנישואין נולדו לצדדים שתי בנות (להלן: "</w:t>
      </w:r>
      <w:r>
        <w:rPr>
          <w:rFonts w:hint="cs"/>
          <w:b/>
          <w:bCs/>
          <w:rtl/>
        </w:rPr>
        <w:t>הקטינות</w:t>
      </w:r>
      <w:r>
        <w:rPr>
          <w:rFonts w:hint="cs"/>
          <w:rtl/>
        </w:rPr>
        <w:t>").</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בשל משבר שפרץ בין הצדדים, בחודש אפריל 2024 המשיב עזב את דירת הצדדים המשותפת ועבר להתגורר בבית הוריו.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ביום 1.5.2024 פתח המשיב הליך יישוב סכסוך במסגרת תיק 32-05-24 (להלן: "</w:t>
      </w:r>
      <w:r>
        <w:rPr>
          <w:rFonts w:hint="cs"/>
          <w:b/>
          <w:bCs/>
          <w:rtl/>
        </w:rPr>
        <w:t>ההליך ליישוב סכסוך</w:t>
      </w:r>
      <w:r>
        <w:rPr>
          <w:rFonts w:hint="cs"/>
          <w:rtl/>
        </w:rPr>
        <w:t xml:space="preserve">"). </w:t>
      </w:r>
    </w:p>
    <w:p w:rsidR="00F97D0F" w:rsidRDefault="00F97D0F" w:rsidP="00F97D0F">
      <w:pPr>
        <w:pStyle w:val="ae"/>
        <w:spacing w:line="360" w:lineRule="auto"/>
      </w:pPr>
    </w:p>
    <w:p w:rsidR="00F97D0F" w:rsidRDefault="00F97D0F" w:rsidP="00F97D0F">
      <w:pPr>
        <w:spacing w:line="360" w:lineRule="auto"/>
        <w:jc w:val="both"/>
        <w:rPr>
          <w:rFonts w:ascii="David" w:hAnsi="David"/>
          <w:b/>
          <w:bCs/>
          <w:rtl/>
        </w:rPr>
      </w:pPr>
      <w:r>
        <w:rPr>
          <w:rFonts w:ascii="David" w:hAnsi="David"/>
          <w:b/>
          <w:bCs/>
          <w:u w:val="single"/>
          <w:rtl/>
        </w:rPr>
        <w:t>עיקר טענות המבקשת</w:t>
      </w:r>
      <w:r>
        <w:rPr>
          <w:rFonts w:ascii="David" w:hAnsi="David"/>
          <w:b/>
          <w:bCs/>
          <w:rtl/>
        </w:rPr>
        <w:t xml:space="preserve"> </w:t>
      </w:r>
    </w:p>
    <w:p w:rsidR="00F97D0F" w:rsidRDefault="00F97D0F" w:rsidP="00F97D0F">
      <w:pPr>
        <w:spacing w:line="360" w:lineRule="auto"/>
        <w:jc w:val="both"/>
        <w:rPr>
          <w:rFonts w:ascii="David" w:hAnsi="David"/>
          <w:rtl/>
        </w:rPr>
      </w:pPr>
    </w:p>
    <w:p w:rsidR="00F97D0F" w:rsidRDefault="00F97D0F" w:rsidP="00F97D0F">
      <w:pPr>
        <w:pStyle w:val="ae"/>
        <w:numPr>
          <w:ilvl w:val="0"/>
          <w:numId w:val="1"/>
        </w:numPr>
        <w:spacing w:line="360" w:lineRule="auto"/>
        <w:jc w:val="both"/>
      </w:pPr>
      <w:r>
        <w:rPr>
          <w:rFonts w:hint="cs"/>
          <w:rtl/>
        </w:rPr>
        <w:t xml:space="preserve">יש להורות על מחיקת התביעה ממספר טעמים כדלהלן: </w:t>
      </w:r>
    </w:p>
    <w:p w:rsidR="00F97D0F" w:rsidRDefault="00F97D0F" w:rsidP="00F97D0F">
      <w:pPr>
        <w:pStyle w:val="ae"/>
        <w:spacing w:line="360" w:lineRule="auto"/>
        <w:jc w:val="both"/>
      </w:pPr>
    </w:p>
    <w:p w:rsidR="00F97D0F" w:rsidRDefault="00F97D0F" w:rsidP="00F97D0F">
      <w:pPr>
        <w:pStyle w:val="ae"/>
        <w:spacing w:line="360" w:lineRule="auto"/>
        <w:jc w:val="both"/>
        <w:rPr>
          <w:rtl/>
        </w:rPr>
      </w:pPr>
      <w:r>
        <w:rPr>
          <w:rFonts w:hint="cs"/>
          <w:rtl/>
        </w:rPr>
        <w:lastRenderedPageBreak/>
        <w:t>התביעה הוגשה מבלי שהצדדים נפגשו ביחידת הסיוע (להלן: "</w:t>
      </w:r>
      <w:r>
        <w:rPr>
          <w:rFonts w:hint="cs"/>
          <w:b/>
          <w:bCs/>
          <w:rtl/>
        </w:rPr>
        <w:t>הטענה הראשונה</w:t>
      </w:r>
      <w:r>
        <w:rPr>
          <w:rFonts w:hint="cs"/>
          <w:rtl/>
        </w:rPr>
        <w:t>");</w:t>
      </w:r>
    </w:p>
    <w:p w:rsidR="00F97D0F" w:rsidRDefault="00F97D0F" w:rsidP="00F97D0F">
      <w:pPr>
        <w:pStyle w:val="ae"/>
        <w:spacing w:line="360" w:lineRule="auto"/>
        <w:jc w:val="both"/>
        <w:rPr>
          <w:rtl/>
        </w:rPr>
      </w:pPr>
    </w:p>
    <w:p w:rsidR="00F97D0F" w:rsidRDefault="00F97D0F" w:rsidP="00F97D0F">
      <w:pPr>
        <w:pStyle w:val="ae"/>
        <w:spacing w:line="360" w:lineRule="auto"/>
        <w:jc w:val="both"/>
        <w:rPr>
          <w:rtl/>
        </w:rPr>
      </w:pPr>
      <w:r>
        <w:rPr>
          <w:rFonts w:hint="cs"/>
          <w:rtl/>
        </w:rPr>
        <w:t>התביעה הוגשה בחוסר תום לב, כאשר הליך נוסף ליישוב סכסוך שנפתח על ידי המבקשת בבית הדין הרבני האזורי בירושלים (להלן: "</w:t>
      </w:r>
      <w:r>
        <w:rPr>
          <w:rFonts w:hint="cs"/>
          <w:b/>
          <w:bCs/>
          <w:rtl/>
        </w:rPr>
        <w:t>ההליך הנוסף ליישוב סכסוך</w:t>
      </w:r>
      <w:r>
        <w:rPr>
          <w:rFonts w:hint="cs"/>
          <w:rtl/>
        </w:rPr>
        <w:t>") – עודנו פתוח (להלן: "</w:t>
      </w:r>
      <w:r>
        <w:rPr>
          <w:rFonts w:hint="cs"/>
          <w:b/>
          <w:bCs/>
          <w:rtl/>
        </w:rPr>
        <w:t>הטענה השנייה</w:t>
      </w:r>
      <w:r>
        <w:rPr>
          <w:rFonts w:hint="cs"/>
          <w:rtl/>
        </w:rPr>
        <w:t>");</w:t>
      </w:r>
    </w:p>
    <w:p w:rsidR="00F97D0F" w:rsidRDefault="00F97D0F" w:rsidP="00F97D0F">
      <w:pPr>
        <w:pStyle w:val="ae"/>
        <w:spacing w:line="360" w:lineRule="auto"/>
        <w:jc w:val="both"/>
        <w:rPr>
          <w:rtl/>
        </w:rPr>
      </w:pPr>
    </w:p>
    <w:p w:rsidR="00F97D0F" w:rsidRDefault="00F97D0F" w:rsidP="00F97D0F">
      <w:pPr>
        <w:pStyle w:val="ae"/>
        <w:spacing w:line="360" w:lineRule="auto"/>
        <w:jc w:val="both"/>
        <w:rPr>
          <w:rtl/>
        </w:rPr>
      </w:pPr>
      <w:r>
        <w:rPr>
          <w:rFonts w:hint="cs"/>
          <w:rtl/>
        </w:rPr>
        <w:t xml:space="preserve">התביעה הוגשה בניגוד לסעיפים 3 ו-4 לחוק להסדר התדיינויות בסכסוכי משפחה (הוראת שעה), התשע"ה–2014 (להלן: </w:t>
      </w:r>
      <w:r>
        <w:rPr>
          <w:rFonts w:hint="cs"/>
          <w:b/>
          <w:bCs/>
          <w:rtl/>
        </w:rPr>
        <w:t>"החוק"</w:t>
      </w:r>
      <w:r>
        <w:rPr>
          <w:rFonts w:hint="cs"/>
          <w:rtl/>
        </w:rPr>
        <w:t>) (להלן: "</w:t>
      </w:r>
      <w:r>
        <w:rPr>
          <w:rFonts w:hint="cs"/>
          <w:b/>
          <w:bCs/>
          <w:rtl/>
        </w:rPr>
        <w:t>הטענה השלישית</w:t>
      </w:r>
      <w:r>
        <w:rPr>
          <w:rFonts w:hint="cs"/>
          <w:rtl/>
        </w:rPr>
        <w:t xml:space="preserve">"). </w:t>
      </w:r>
    </w:p>
    <w:p w:rsidR="00F97D0F" w:rsidRDefault="00F97D0F" w:rsidP="00F97D0F">
      <w:pPr>
        <w:pStyle w:val="ae"/>
        <w:spacing w:line="360" w:lineRule="auto"/>
        <w:jc w:val="both"/>
        <w:rPr>
          <w:rtl/>
        </w:rPr>
      </w:pPr>
    </w:p>
    <w:p w:rsidR="00F97D0F" w:rsidRDefault="00F97D0F" w:rsidP="00F97D0F">
      <w:pPr>
        <w:pStyle w:val="ae"/>
        <w:numPr>
          <w:ilvl w:val="0"/>
          <w:numId w:val="1"/>
        </w:numPr>
        <w:spacing w:line="360" w:lineRule="auto"/>
        <w:jc w:val="both"/>
        <w:rPr>
          <w:rtl/>
        </w:rPr>
      </w:pPr>
      <w:r>
        <w:rPr>
          <w:rFonts w:hint="cs"/>
          <w:rtl/>
        </w:rPr>
        <w:t xml:space="preserve">ביום 1.5.2024 פתח המשיב בהליך ליישוב סכסוך ונקבעה לצדדים פגישת מהו"ת ליום 15.9.2024 [צ.ל. 15.5.2024 – פ"ג]. </w:t>
      </w:r>
    </w:p>
    <w:p w:rsidR="00F97D0F" w:rsidRDefault="00F97D0F" w:rsidP="00F97D0F">
      <w:pPr>
        <w:pStyle w:val="ae"/>
        <w:spacing w:line="360" w:lineRule="auto"/>
        <w:jc w:val="both"/>
      </w:pPr>
    </w:p>
    <w:p w:rsidR="00F97D0F" w:rsidRDefault="00F97D0F" w:rsidP="00F97D0F">
      <w:pPr>
        <w:pStyle w:val="ae"/>
        <w:numPr>
          <w:ilvl w:val="0"/>
          <w:numId w:val="1"/>
        </w:numPr>
        <w:spacing w:line="360" w:lineRule="auto"/>
        <w:jc w:val="both"/>
      </w:pPr>
      <w:r>
        <w:rPr>
          <w:rFonts w:hint="cs"/>
          <w:rtl/>
        </w:rPr>
        <w:t xml:space="preserve">ביום 16.5.2024 הוגשה בקשה מוסכמת להארכת תקופת עיכוב ההליכים.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לאחר שהסכימו הצדדים לפנות למומחה שיחווה את דעתו בעיין חלוקת זמני שהות, הוחלט להחזיר את התיק ליחידת הסיוע על מנת לתאם פגישת מהו"ת.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ביום 5.8.2024 הגישה המבקשת בקשה לקביעת מועד לפגישת מהו"ת ותואם מועד ליום 8.9.2024.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הצדדים ובאי כוחם הבינו כי כולם ממתינים לפגישת המהו"ת.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בתום לב הוגשו על ידי המבקשת שני סעדים זמניים לבית הדין הרבני האזורי בירושלים (להלן: "</w:t>
      </w:r>
      <w:r>
        <w:rPr>
          <w:rFonts w:hint="cs"/>
          <w:b/>
          <w:bCs/>
          <w:rtl/>
        </w:rPr>
        <w:t>בית הדין</w:t>
      </w:r>
      <w:r>
        <w:rPr>
          <w:rFonts w:hint="cs"/>
          <w:rtl/>
        </w:rPr>
        <w:t xml:space="preserve">") במסגרת ההליך הנוסף ליישוב סכסוך: בקשה לרישום למוסדות חינוך ובקשה לפסיקת מזונות זמניים.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ביום 1.9.2024 החליט בית המשפט על סגירת ההליך ליישוב סכסוך, ובאותו היום מזכירות יחידת הסיוע עדכנה את הצדדים כי פגישת המהו"ת בוטלה.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משעה שהצדדים לא קיימו פגישה ביחידת הסיוע וההליך ליישוב סכסוך לא מוצה כדין, אין מקום להגשת התביעה ויש למחוק את התביעה מטעם זה בלבד.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ביום 18.9.2024 שני הצדדים הגיעו לפגישה ביחידת הסיוע שליד לבית הדין.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lastRenderedPageBreak/>
        <w:t xml:space="preserve">במהלך כל תקופת הפרידה נעשה ניסיון לשלום בית ולחיים המשותפים.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החוק קובע את החובה לקיים פגישת מהו"ת וזו לא התקיימה במסגרת ההליך ליישוב סכסוך. מנגד ההליך הנוסף ליישוב סכסוך התקיים כדין, בנוכחות הצדדים, ובסיומו תוכל המבקשת להגיש את תביעותיה. </w:t>
      </w:r>
    </w:p>
    <w:p w:rsidR="00F97D0F" w:rsidRDefault="00F97D0F" w:rsidP="00F97D0F">
      <w:pPr>
        <w:pStyle w:val="ae"/>
        <w:spacing w:line="360" w:lineRule="auto"/>
      </w:pPr>
    </w:p>
    <w:p w:rsidR="00F97D0F" w:rsidRDefault="00F97D0F" w:rsidP="00F97D0F">
      <w:pPr>
        <w:spacing w:line="360" w:lineRule="auto"/>
        <w:jc w:val="both"/>
        <w:rPr>
          <w:rFonts w:ascii="David" w:hAnsi="David"/>
          <w:b/>
          <w:bCs/>
          <w:u w:val="single"/>
          <w:rtl/>
        </w:rPr>
      </w:pPr>
      <w:r>
        <w:rPr>
          <w:rFonts w:ascii="David" w:hAnsi="David"/>
          <w:b/>
          <w:bCs/>
          <w:u w:val="single"/>
          <w:rtl/>
        </w:rPr>
        <w:t>עיקר טענות המשיב</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הטענה שלפיה המבקשת פתחה תיק יישוב סכסוך נוסף בבית הדין ימים בודדים (3 ימים) לאחר שבית המשפט הורה בהחלטה מיום 1.9.2024 על סגירת ההליך ליישוב סכסוך, ולפיכך הצדדים רשאים להגיש תביעות כחוק - אינה מוכרת בדין. </w:t>
      </w:r>
    </w:p>
    <w:p w:rsidR="00F97D0F" w:rsidRDefault="00F97D0F" w:rsidP="00F97D0F">
      <w:pPr>
        <w:pStyle w:val="ae"/>
        <w:spacing w:line="360" w:lineRule="auto"/>
        <w:jc w:val="both"/>
      </w:pPr>
    </w:p>
    <w:p w:rsidR="00F97D0F" w:rsidRDefault="00F97D0F" w:rsidP="00F97D0F">
      <w:pPr>
        <w:pStyle w:val="ae"/>
        <w:numPr>
          <w:ilvl w:val="0"/>
          <w:numId w:val="1"/>
        </w:numPr>
        <w:spacing w:line="360" w:lineRule="auto"/>
        <w:jc w:val="both"/>
      </w:pPr>
      <w:r>
        <w:rPr>
          <w:rFonts w:hint="cs"/>
          <w:rtl/>
        </w:rPr>
        <w:t xml:space="preserve">המשיב פתח בהליך ליישוב סכסוך ונקבעה לצדדים פגישת מהות ליום 19.5.2024 – פגישה אשר בוטלה על ידי המבקשת.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במשך מספר חודשים הצדדים ניהלו מו"מ במטרה לנסות להגיע להסכם כולל.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בחודש אוגוסט 2024 הגיע המו"מ למבוי סתום וביום 1.9.2024 - 4 חודשים לאחר שנפתח ההליך ליישוב סכסוך - הורה בית המשפט על סגירתו התיק. בהתאם ועל פי הדין, הגיש המשיב את התביעה.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השתלשלות העניינים במסגרת ההליך ליישוב סכסוך הייתה כדלהלן: </w:t>
      </w:r>
    </w:p>
    <w:p w:rsidR="00F97D0F" w:rsidRDefault="00F97D0F" w:rsidP="00F97D0F">
      <w:pPr>
        <w:spacing w:line="360" w:lineRule="auto"/>
        <w:ind w:left="720"/>
        <w:jc w:val="both"/>
        <w:rPr>
          <w:rFonts w:ascii="David" w:hAnsi="David"/>
        </w:rPr>
      </w:pPr>
    </w:p>
    <w:p w:rsidR="00F97D0F" w:rsidRDefault="00F97D0F" w:rsidP="00F97D0F">
      <w:pPr>
        <w:spacing w:line="360" w:lineRule="auto"/>
        <w:ind w:left="720"/>
        <w:jc w:val="both"/>
        <w:rPr>
          <w:rFonts w:ascii="David" w:hAnsi="David"/>
          <w:rtl/>
        </w:rPr>
      </w:pPr>
      <w:r>
        <w:rPr>
          <w:rFonts w:ascii="David" w:hAnsi="David"/>
          <w:rtl/>
        </w:rPr>
        <w:t>ביום 1.5.2024 פתח המשיב בהליך ליישוב סכסוך בבית המשפט;</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ביום 16.5.2024 הוגשה בקשה מוסכמת להארכת תקופת עיכוב ההליכים עד ליום 30.6.2024 לצורך ניהול הליכי מו"מ. הצדדים הסכימו לפנות למומחה, שיסייע לצדדים להגיע להסדר מוסכם בעניין הקטינות, לרבות בעניין חלוקת זמני שהות. הצדדים הסכימו לדחות את פגישת המהו"ת הקבועה ליום 19.5.2024;</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ביום 3.6.2024 פנה ב"כ המבקשת לב"כ המשיב, הודיע כי קיבל חוות דעת מומחה וביקש להאריך בהסכמה את תקופת עיכוב ההליכים עד ליום 1.9.2024 והמשיב הסכים לכך;</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lastRenderedPageBreak/>
        <w:t xml:space="preserve">ביום 1.8.2024 הודיע ב"כ המבקשת לב"כ המשיב כי הוא מבקש לבטל את תקופת עיכוב ההליכים ולקבוע פגישת מהו"ת ביחידת הסיוע; </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מספר ימים לאחר מכן, על אף שחלפו שלושה חודשים מאז פתיחת ההליך ליישוב סכסוך וחלף המועד לקיום פגישות מהו"ת, הגישה המבקשת בקשה לקבוע מועד לפגישת מהו"ת;</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ביום 13.8.2024 הגישה יחידת הסיוע הודעה כי תקופת עיכוב ההליכים חלפה וכי לא ניתן לקבוע מועד לפגישת מהו"ת, אלא אם יגישו הצדדים בקשה מוסכמת להארכת תקופת הליכים ו/או ערכאה שיפוטית תחליט על הארכת המועד כאמור;</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 xml:space="preserve">בו ביום המזכירות הונחתה על ידי בית המשפט להביא לידיעת יחידת הסיוע כי בהחלטה מיום 26.6.2024 הוארכה בהסכמה תקופת עיכוב ההליכים עד ליום 1.9.2024; </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ביום 15.8.2024, לאחר שיחה נוספת בין הצדדים, הודיע ב"כ המבקשת לב"כ המשיב כי "נמתין לתביעות";</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ביום 1.9.2024 הסתיימה תקופת עיכוב ההליכים ובית המשפט הורה על סגירת התיק והגשת התביעות בכפוף להוראות החוק. במקביל הודיעה יחידת הסיוע לצדדים כי פגישת המהו"ת שתואמה ליום 8.9.2024 מבוטלת בשל סיום תקופת עיכוב ההליכים;</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 xml:space="preserve">ביום 3.9.2024 מסר ב"כ המבקשת לב"כ המשיב העתק בקשה לפסיקת מזונות זמניים שהוגשה לבית הדין הרבני בירושלים, וכן עותק החלטת בית הדין מיום 2.9.2024 אשר לפיה על המשיב להגיש תגובה לבקשה בתוך 15 ימים; </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ביום 4.9.2024 הגישה המבקשת בקשה ליישוב סכסוך לבית הדין, תוך שהיא הסתירה מבית הדין כי התקיים הליך ליישוב סכסוך בבית המשפט וכי במשך ארבעה חודשים התקיים מו"מ בין הצדדים;</w:t>
      </w:r>
    </w:p>
    <w:p w:rsidR="00F97D0F" w:rsidRDefault="00F97D0F" w:rsidP="00F97D0F">
      <w:pPr>
        <w:spacing w:line="360" w:lineRule="auto"/>
        <w:ind w:left="720"/>
        <w:jc w:val="both"/>
        <w:rPr>
          <w:rFonts w:ascii="David" w:hAnsi="David"/>
          <w:rtl/>
        </w:rPr>
      </w:pPr>
    </w:p>
    <w:p w:rsidR="00F97D0F" w:rsidRDefault="00F97D0F" w:rsidP="00F97D0F">
      <w:pPr>
        <w:spacing w:line="360" w:lineRule="auto"/>
        <w:ind w:left="720"/>
        <w:jc w:val="both"/>
        <w:rPr>
          <w:rFonts w:ascii="David" w:hAnsi="David"/>
          <w:rtl/>
        </w:rPr>
      </w:pPr>
      <w:r>
        <w:rPr>
          <w:rFonts w:ascii="David" w:hAnsi="David"/>
          <w:rtl/>
        </w:rPr>
        <w:t>ביום 7.9.2024 שלח ב"כ המבקשת לב"כ המשיב הזמנה לפגישה ביחידת הסיוע שעל יד בית הדין.</w:t>
      </w:r>
    </w:p>
    <w:p w:rsidR="00F97D0F" w:rsidRDefault="00F97D0F" w:rsidP="00F97D0F">
      <w:pPr>
        <w:spacing w:line="360" w:lineRule="auto"/>
        <w:ind w:left="720"/>
        <w:jc w:val="both"/>
        <w:rPr>
          <w:rFonts w:ascii="David" w:hAnsi="David"/>
          <w:rtl/>
        </w:rPr>
      </w:pPr>
    </w:p>
    <w:p w:rsidR="00F97D0F" w:rsidRDefault="00F97D0F" w:rsidP="00F97D0F">
      <w:pPr>
        <w:pStyle w:val="ae"/>
        <w:numPr>
          <w:ilvl w:val="0"/>
          <w:numId w:val="1"/>
        </w:numPr>
        <w:spacing w:line="360" w:lineRule="auto"/>
        <w:jc w:val="both"/>
        <w:rPr>
          <w:rtl/>
        </w:rPr>
      </w:pPr>
      <w:r>
        <w:rPr>
          <w:rFonts w:hint="cs"/>
          <w:rtl/>
        </w:rPr>
        <w:t xml:space="preserve">הבקשות לסעדים זמניים הוגשו לבית הדין מטעמים טקטיים מתוך מטרה לנהל את ההליך בבית הדין הרבני ולא בתום לב. </w:t>
      </w:r>
    </w:p>
    <w:p w:rsidR="00F97D0F" w:rsidRDefault="00F97D0F" w:rsidP="00F97D0F">
      <w:pPr>
        <w:pStyle w:val="ae"/>
        <w:spacing w:line="360" w:lineRule="auto"/>
        <w:jc w:val="both"/>
      </w:pPr>
    </w:p>
    <w:p w:rsidR="00F97D0F" w:rsidRDefault="00F97D0F" w:rsidP="00F97D0F">
      <w:pPr>
        <w:pStyle w:val="ae"/>
        <w:numPr>
          <w:ilvl w:val="0"/>
          <w:numId w:val="1"/>
        </w:numPr>
        <w:spacing w:line="360" w:lineRule="auto"/>
        <w:jc w:val="both"/>
      </w:pPr>
      <w:r>
        <w:rPr>
          <w:rFonts w:hint="cs"/>
          <w:rtl/>
        </w:rPr>
        <w:lastRenderedPageBreak/>
        <w:t xml:space="preserve">ביום 16.9.2024 הגיש המשיב את התביעה לבית המשפט בהתאם להוראת סע' 4 לחוק. במקביל ובהתאם להחלטת בית הדין מיום 2.9.2024, הגיש המשיב תגובה לבקשה לפסיקת מזונות זמניים, וכן בקשה לסגירת ההליך הנוסף ליישוב סכסוך וביטול פגישת המהו"ת שנקבעה ביחידת הסיוע הסמוכה לבית הדין.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הגם שלא קוימה פגישת מהות ביחידת הסיוע שליד בית המשפט, הצדדים קיימו פגישה עם המומחה וכן נעשו ניסיונות רציניים להגיע להסכם. </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 xml:space="preserve">ככל שטוענת המבקשת לקיום הוראות סעיפים 3 ו-4 לחוק, הרי שעליה להמתין ולא לנקוט בכל הליך משפטי בתקופה בת 15 ימים בהם הייתה נתונה למשיב האפשרות והזכות להגיש תביעותיו. </w:t>
      </w:r>
    </w:p>
    <w:p w:rsidR="00F97D0F" w:rsidRDefault="00F97D0F" w:rsidP="00F97D0F">
      <w:pPr>
        <w:pStyle w:val="ae"/>
        <w:spacing w:line="360" w:lineRule="auto"/>
      </w:pPr>
    </w:p>
    <w:p w:rsidR="00F97D0F" w:rsidRDefault="00F97D0F" w:rsidP="00F97D0F">
      <w:pPr>
        <w:spacing w:line="360" w:lineRule="auto"/>
        <w:jc w:val="both"/>
        <w:rPr>
          <w:rFonts w:ascii="David" w:hAnsi="David"/>
          <w:b/>
          <w:bCs/>
          <w:u w:val="single"/>
          <w:rtl/>
        </w:rPr>
      </w:pPr>
      <w:r>
        <w:rPr>
          <w:rFonts w:ascii="David" w:hAnsi="David"/>
          <w:b/>
          <w:bCs/>
          <w:u w:val="single"/>
          <w:rtl/>
        </w:rPr>
        <w:t>הכרעה</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לאחר עיון בעמדות הצדדים, הגעתי למסקנה כי דין הבקשה להתקבל.</w:t>
      </w:r>
    </w:p>
    <w:p w:rsidR="00F97D0F" w:rsidRDefault="00F97D0F" w:rsidP="00F97D0F">
      <w:pPr>
        <w:spacing w:line="360" w:lineRule="auto"/>
        <w:jc w:val="both"/>
        <w:rPr>
          <w:rFonts w:ascii="David" w:hAnsi="David"/>
        </w:rPr>
      </w:pPr>
    </w:p>
    <w:p w:rsidR="00F97D0F" w:rsidRDefault="00F97D0F" w:rsidP="00F97D0F">
      <w:pPr>
        <w:pStyle w:val="ae"/>
        <w:numPr>
          <w:ilvl w:val="0"/>
          <w:numId w:val="1"/>
        </w:numPr>
        <w:spacing w:line="360" w:lineRule="auto"/>
        <w:jc w:val="both"/>
      </w:pPr>
      <w:r>
        <w:rPr>
          <w:rFonts w:hint="cs"/>
          <w:rtl/>
        </w:rPr>
        <w:t xml:space="preserve">בראש ובראשונה יש לדחות את הטענה הראשונה של המבקשת. לא מצאתי בחוק או בתקנות להסדר התדיינויות בסכסוכי משפחה, התשע"ו–2016 (להלן: </w:t>
      </w:r>
      <w:r>
        <w:rPr>
          <w:rFonts w:hint="cs"/>
          <w:b/>
          <w:bCs/>
          <w:rtl/>
        </w:rPr>
        <w:t>התקנות</w:t>
      </w:r>
      <w:r>
        <w:rPr>
          <w:rFonts w:hint="cs"/>
          <w:rtl/>
        </w:rPr>
        <w:t>"), כל הוראה אשר לפיה קיום פגישת המהו"ת מהווה תנאי לקיום הליך ליישוב סכסוך.</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לטעמי, ההפך הוא הנכון:</w:t>
      </w:r>
    </w:p>
    <w:p w:rsidR="00F97D0F" w:rsidRDefault="00F97D0F" w:rsidP="00F97D0F">
      <w:pPr>
        <w:pStyle w:val="ae"/>
        <w:spacing w:line="360" w:lineRule="auto"/>
      </w:pPr>
    </w:p>
    <w:p w:rsidR="00F97D0F" w:rsidRDefault="00F97D0F" w:rsidP="00F97D0F">
      <w:pPr>
        <w:pStyle w:val="ae"/>
        <w:spacing w:line="360" w:lineRule="auto"/>
        <w:jc w:val="both"/>
        <w:rPr>
          <w:rtl/>
        </w:rPr>
      </w:pPr>
      <w:r>
        <w:rPr>
          <w:rFonts w:hint="cs"/>
          <w:u w:val="single"/>
          <w:rtl/>
        </w:rPr>
        <w:t>ראשית</w:t>
      </w:r>
      <w:r>
        <w:rPr>
          <w:rFonts w:hint="cs"/>
          <w:rtl/>
        </w:rPr>
        <w:t xml:space="preserve">, מטרת החוק היא "... </w:t>
      </w:r>
      <w:r>
        <w:rPr>
          <w:rFonts w:hint="cs"/>
          <w:b/>
          <w:bCs/>
          <w:rtl/>
        </w:rPr>
        <w:t>לסייע לבני זוג ולהורים וילדיהם ליישב סכסוך משפחתי ביניהם בהסכמה ובדרכי שלום, ולצמצם את הצורך בקיום התדיינות משפטית, מתוך התחשבות במכלול ההיבטים הנוגעים לסכסוך ובטובתם של כל ילדה וילד</w:t>
      </w:r>
      <w:r>
        <w:rPr>
          <w:rFonts w:hint="cs"/>
          <w:rtl/>
        </w:rPr>
        <w:t>" (ראו: ס' 1 לחוק; תלה"מ 40771-09-22</w:t>
      </w:r>
      <w:r>
        <w:rPr>
          <w:rFonts w:hint="cs"/>
          <w:b/>
          <w:bCs/>
          <w:rtl/>
        </w:rPr>
        <w:t xml:space="preserve"> א. ד. מ נ' ל. כ. ד. </w:t>
      </w:r>
      <w:r>
        <w:rPr>
          <w:rFonts w:hint="cs"/>
          <w:rtl/>
        </w:rPr>
        <w:t xml:space="preserve">(4.12.2022)), וזאת, בין היתר, על דרך יצירת תקופת עיכוב הליכים, אשר במהלכה לא ניתן להגיש תביעות לערכאות שיפוטיות (ראו: </w:t>
      </w:r>
      <w:r>
        <w:rPr>
          <w:rFonts w:hint="cs"/>
          <w:b/>
          <w:bCs/>
          <w:rtl/>
        </w:rPr>
        <w:t xml:space="preserve">בע"מ </w:t>
      </w:r>
      <w:r>
        <w:rPr>
          <w:b/>
          <w:bCs/>
        </w:rPr>
        <w:t>2348/24</w:t>
      </w:r>
      <w:r>
        <w:rPr>
          <w:rFonts w:hint="cs"/>
          <w:b/>
          <w:bCs/>
          <w:rtl/>
        </w:rPr>
        <w:t xml:space="preserve"> פלונית נ' פלוני (</w:t>
      </w:r>
      <w:r>
        <w:rPr>
          <w:rFonts w:hint="cs"/>
          <w:rtl/>
        </w:rPr>
        <w:t xml:space="preserve">9.9.2024)). </w:t>
      </w:r>
    </w:p>
    <w:p w:rsidR="00F97D0F" w:rsidRDefault="00F97D0F" w:rsidP="00F97D0F">
      <w:pPr>
        <w:pStyle w:val="ae"/>
        <w:spacing w:line="360" w:lineRule="auto"/>
        <w:jc w:val="both"/>
        <w:rPr>
          <w:rtl/>
        </w:rPr>
      </w:pPr>
    </w:p>
    <w:p w:rsidR="00F97D0F" w:rsidRDefault="00F97D0F" w:rsidP="00F97D0F">
      <w:pPr>
        <w:pStyle w:val="ae"/>
        <w:spacing w:line="360" w:lineRule="auto"/>
        <w:jc w:val="both"/>
        <w:rPr>
          <w:rtl/>
        </w:rPr>
      </w:pPr>
      <w:r>
        <w:rPr>
          <w:rFonts w:hint="cs"/>
          <w:rtl/>
        </w:rPr>
        <w:t>בתוך כך, אין נפקא מינה אם ינצלו הצדדים את תקופת עיכוב ההליכים לקיום פגישות המהו"ת, או לניהול מו"מ באמצעות מומחה מוסכם – כמו במקרה שלפניי.</w:t>
      </w:r>
    </w:p>
    <w:p w:rsidR="00F97D0F" w:rsidRDefault="00F97D0F" w:rsidP="00F97D0F">
      <w:pPr>
        <w:pStyle w:val="ae"/>
        <w:spacing w:line="360" w:lineRule="auto"/>
        <w:jc w:val="both"/>
        <w:rPr>
          <w:rtl/>
        </w:rPr>
      </w:pPr>
    </w:p>
    <w:p w:rsidR="00F97D0F" w:rsidRDefault="00F97D0F" w:rsidP="00F97D0F">
      <w:pPr>
        <w:pStyle w:val="ae"/>
        <w:spacing w:line="360" w:lineRule="auto"/>
        <w:jc w:val="both"/>
        <w:rPr>
          <w:rtl/>
        </w:rPr>
      </w:pPr>
    </w:p>
    <w:p w:rsidR="00F97D0F" w:rsidRDefault="00F97D0F" w:rsidP="00F97D0F">
      <w:pPr>
        <w:pStyle w:val="ae"/>
        <w:spacing w:line="360" w:lineRule="auto"/>
        <w:jc w:val="both"/>
        <w:rPr>
          <w:rtl/>
        </w:rPr>
      </w:pPr>
      <w:r>
        <w:rPr>
          <w:rFonts w:hint="cs"/>
          <w:u w:val="single"/>
          <w:rtl/>
        </w:rPr>
        <w:lastRenderedPageBreak/>
        <w:t>שנית</w:t>
      </w:r>
      <w:r>
        <w:rPr>
          <w:rFonts w:hint="cs"/>
          <w:rtl/>
        </w:rPr>
        <w:t xml:space="preserve">, </w:t>
      </w:r>
      <w:r>
        <w:rPr>
          <w:rFonts w:hint="cs"/>
          <w:b/>
          <w:bCs/>
          <w:rtl/>
        </w:rPr>
        <w:t>ס' 3 (ב) (1) לחוק</w:t>
      </w:r>
      <w:r>
        <w:rPr>
          <w:rFonts w:hint="cs"/>
          <w:rtl/>
        </w:rPr>
        <w:t xml:space="preserve"> קובע, כי הצדדים לבקשה ליישוב סכסוך </w:t>
      </w:r>
      <w:r>
        <w:rPr>
          <w:rFonts w:hint="cs"/>
          <w:b/>
          <w:bCs/>
          <w:u w:val="single"/>
          <w:rtl/>
        </w:rPr>
        <w:t>יוזמנו</w:t>
      </w:r>
      <w:r>
        <w:rPr>
          <w:rFonts w:hint="cs"/>
          <w:rtl/>
        </w:rPr>
        <w:t xml:space="preserve"> ליחידת הסיוע ל-4 פגישות מהו"ת, והדעת נותנת כי לו סבר המחוקק כי ההשתתפות בפגישות המהו"ת מהווה תנאי לקיום הליך ליישוב סכסוך, היה נוקט בלשון אחרת כגון: הצדדים </w:t>
      </w:r>
      <w:r>
        <w:rPr>
          <w:rFonts w:hint="cs"/>
          <w:b/>
          <w:bCs/>
          <w:u w:val="single"/>
          <w:rtl/>
        </w:rPr>
        <w:t>יתייצבו</w:t>
      </w:r>
      <w:r>
        <w:rPr>
          <w:rFonts w:hint="cs"/>
          <w:rtl/>
        </w:rPr>
        <w:t xml:space="preserve"> לפגישות המהו"ת. </w:t>
      </w:r>
    </w:p>
    <w:p w:rsidR="00F97D0F" w:rsidRDefault="00F97D0F" w:rsidP="00F97D0F">
      <w:pPr>
        <w:pStyle w:val="ae"/>
        <w:spacing w:line="360" w:lineRule="auto"/>
        <w:jc w:val="both"/>
        <w:rPr>
          <w:rtl/>
        </w:rPr>
      </w:pPr>
    </w:p>
    <w:p w:rsidR="00F97D0F" w:rsidRDefault="00F97D0F" w:rsidP="00F97D0F">
      <w:pPr>
        <w:pStyle w:val="ae"/>
        <w:spacing w:line="360" w:lineRule="auto"/>
        <w:jc w:val="both"/>
      </w:pPr>
      <w:r>
        <w:rPr>
          <w:rFonts w:hint="cs"/>
          <w:u w:val="single"/>
          <w:rtl/>
        </w:rPr>
        <w:t>שלישית</w:t>
      </w:r>
      <w:r>
        <w:rPr>
          <w:rFonts w:hint="cs"/>
          <w:rtl/>
        </w:rPr>
        <w:t>, טול דוגמה אשר לפיה הצדדים הגיעו להסכם קודם קיום פגישת המהו"ת הראשונה, וזה הוגש לאישורו של בית המשפט. האם ניתן לטעון כי הליך יישוב הסכסוך לא התקיים, על אף שמטרתו המוגדרת ב</w:t>
      </w:r>
      <w:r>
        <w:rPr>
          <w:rFonts w:hint="cs"/>
          <w:b/>
          <w:bCs/>
          <w:rtl/>
        </w:rPr>
        <w:t>ס' 1 לחוק</w:t>
      </w:r>
      <w:r>
        <w:rPr>
          <w:rFonts w:hint="cs"/>
          <w:rtl/>
        </w:rPr>
        <w:t xml:space="preserve"> הושגה? דומני כי לא יכול להיות חולק על כך שהתשובה לשאלה זו שלילית.</w:t>
      </w:r>
    </w:p>
    <w:p w:rsidR="00F97D0F" w:rsidRDefault="00F97D0F" w:rsidP="00F97D0F">
      <w:pPr>
        <w:pStyle w:val="ae"/>
        <w:spacing w:line="360" w:lineRule="auto"/>
      </w:pPr>
    </w:p>
    <w:p w:rsidR="00F97D0F" w:rsidRDefault="00F97D0F" w:rsidP="00F97D0F">
      <w:pPr>
        <w:pStyle w:val="ae"/>
        <w:numPr>
          <w:ilvl w:val="0"/>
          <w:numId w:val="1"/>
        </w:numPr>
        <w:spacing w:line="360" w:lineRule="auto"/>
        <w:jc w:val="both"/>
        <w:rPr>
          <w:rtl/>
        </w:rPr>
      </w:pPr>
      <w:r>
        <w:rPr>
          <w:rFonts w:hint="cs"/>
          <w:rtl/>
        </w:rPr>
        <w:t>חרף דחיית הטענה הראשונה, מצאתי מקום לקבל את הטענה השנייה.</w:t>
      </w:r>
    </w:p>
    <w:p w:rsidR="00F97D0F" w:rsidRDefault="00F97D0F" w:rsidP="00F97D0F">
      <w:pPr>
        <w:pStyle w:val="ae"/>
        <w:spacing w:line="360" w:lineRule="auto"/>
        <w:jc w:val="both"/>
      </w:pPr>
    </w:p>
    <w:p w:rsidR="00F97D0F" w:rsidRDefault="00F97D0F" w:rsidP="00F97D0F">
      <w:pPr>
        <w:pStyle w:val="ae"/>
        <w:numPr>
          <w:ilvl w:val="0"/>
          <w:numId w:val="1"/>
        </w:numPr>
        <w:spacing w:line="360" w:lineRule="auto"/>
        <w:jc w:val="both"/>
        <w:rPr>
          <w:rtl/>
        </w:rPr>
      </w:pPr>
      <w:r>
        <w:rPr>
          <w:rFonts w:hint="cs"/>
          <w:rtl/>
        </w:rPr>
        <w:t xml:space="preserve">המבקשת הפנתה לבע"מ 3124/24 </w:t>
      </w:r>
      <w:r>
        <w:rPr>
          <w:rFonts w:hint="cs"/>
          <w:b/>
          <w:bCs/>
          <w:rtl/>
        </w:rPr>
        <w:t xml:space="preserve">פלוני נ' פלונית </w:t>
      </w:r>
      <w:r>
        <w:rPr>
          <w:rFonts w:hint="cs"/>
          <w:rtl/>
        </w:rPr>
        <w:t>(16.6.2024) (להלן: "</w:t>
      </w:r>
      <w:r>
        <w:rPr>
          <w:rFonts w:hint="cs"/>
          <w:b/>
          <w:bCs/>
          <w:rtl/>
        </w:rPr>
        <w:t>בע"מ פלוני</w:t>
      </w:r>
      <w:r>
        <w:rPr>
          <w:rFonts w:hint="cs"/>
          <w:rtl/>
        </w:rPr>
        <w:t>"), אשר במסגרתו דן בית המשפט העליון בשאלה "</w:t>
      </w:r>
      <w:r>
        <w:rPr>
          <w:rFonts w:hint="cs"/>
          <w:i/>
          <w:iCs/>
          <w:rtl/>
        </w:rPr>
        <w:t>האם במקרה שבו ננקט הליך נוסף של יישוב סכסוך בטרם חלפה שנה מנקיטתו של הליך קודם מסוג זה, ניתן להגיש תביעה לאלתר, גם מבלי שחלפה תקופת עיכוב ההליכים החדשה שנפתחה</w:t>
      </w:r>
      <w:r>
        <w:rPr>
          <w:rFonts w:hint="cs"/>
          <w:rtl/>
        </w:rPr>
        <w:t>" (ראו: ס' 3 לבע"מ פלוני).</w:t>
      </w:r>
    </w:p>
    <w:p w:rsidR="00F97D0F" w:rsidRDefault="00F97D0F" w:rsidP="00F97D0F">
      <w:pPr>
        <w:pStyle w:val="ae"/>
      </w:pPr>
    </w:p>
    <w:p w:rsidR="00F97D0F" w:rsidRDefault="00F97D0F" w:rsidP="00F97D0F">
      <w:pPr>
        <w:pStyle w:val="ae"/>
        <w:numPr>
          <w:ilvl w:val="0"/>
          <w:numId w:val="1"/>
        </w:numPr>
        <w:spacing w:line="360" w:lineRule="auto"/>
        <w:jc w:val="both"/>
        <w:rPr>
          <w:rtl/>
        </w:rPr>
      </w:pPr>
      <w:r>
        <w:rPr>
          <w:rFonts w:hint="cs"/>
          <w:rtl/>
        </w:rPr>
        <w:t xml:space="preserve">בית המשפט העליון הגיע למסקנה ולפיה </w:t>
      </w:r>
      <w:r>
        <w:rPr>
          <w:rFonts w:hint="cs"/>
          <w:shd w:val="clear" w:color="auto" w:fill="FFFFFF"/>
          <w:rtl/>
        </w:rPr>
        <w:t>"</w:t>
      </w:r>
      <w:r>
        <w:rPr>
          <w:rFonts w:hint="cs"/>
          <w:i/>
          <w:iCs/>
          <w:shd w:val="clear" w:color="auto" w:fill="FFFFFF"/>
          <w:rtl/>
        </w:rPr>
        <w:t>החוק אינו אוסר על נקיטת הליך נוסף של יישוב סכסוך</w:t>
      </w:r>
      <w:r>
        <w:rPr>
          <w:rFonts w:hint="cs"/>
          <w:shd w:val="clear" w:color="auto" w:fill="FFFFFF"/>
          <w:rtl/>
        </w:rPr>
        <w:t>" (ראו: ס' 13 לבע"מ פלוני), ו"</w:t>
      </w:r>
      <w:r>
        <w:rPr>
          <w:rFonts w:hint="cs"/>
          <w:i/>
          <w:iCs/>
          <w:shd w:val="clear" w:color="auto" w:fill="FFFFFF"/>
          <w:rtl/>
        </w:rPr>
        <w:t>הדרך להתמודד עם מצב דברים זה היא הגשת בקשה מתאימה לקיצור התקופה של עיכוב ההליכים, ולא בהתעלמות מן ההליך על דרך הגשתה של תביעה</w:t>
      </w:r>
      <w:r>
        <w:rPr>
          <w:rFonts w:hint="cs"/>
          <w:shd w:val="clear" w:color="auto" w:fill="FFFFFF"/>
          <w:rtl/>
        </w:rPr>
        <w:t>"</w:t>
      </w:r>
      <w:r>
        <w:rPr>
          <w:rFonts w:hint="cs"/>
          <w:rtl/>
        </w:rPr>
        <w:t xml:space="preserve"> (ראו: ס' 15 לבע"מ פלוני).</w:t>
      </w:r>
    </w:p>
    <w:p w:rsidR="00F97D0F" w:rsidRDefault="00F97D0F" w:rsidP="00F97D0F">
      <w:pPr>
        <w:pStyle w:val="ae"/>
      </w:pPr>
    </w:p>
    <w:p w:rsidR="00F97D0F" w:rsidRDefault="00F97D0F" w:rsidP="00F97D0F">
      <w:pPr>
        <w:pStyle w:val="ae"/>
        <w:numPr>
          <w:ilvl w:val="0"/>
          <w:numId w:val="1"/>
        </w:numPr>
        <w:spacing w:line="360" w:lineRule="auto"/>
        <w:jc w:val="both"/>
        <w:rPr>
          <w:rtl/>
        </w:rPr>
      </w:pPr>
      <w:r>
        <w:rPr>
          <w:rFonts w:hint="cs"/>
          <w:rtl/>
        </w:rPr>
        <w:t>במקרה שלפניי אין מחלוקת כי ביום 4.9.2024 – היינו, ימים ספורים לאחר סגירת ההליך ליישוב סכסוך – פתחה המבקשת בהליך הנוסף ליישוב סכסוך (ראו: ס' 27 לתגובה).</w:t>
      </w:r>
    </w:p>
    <w:p w:rsidR="00F97D0F" w:rsidRDefault="00F97D0F" w:rsidP="00F97D0F">
      <w:pPr>
        <w:pStyle w:val="ae"/>
      </w:pPr>
    </w:p>
    <w:p w:rsidR="00F97D0F" w:rsidRDefault="00F97D0F" w:rsidP="00F97D0F">
      <w:pPr>
        <w:pStyle w:val="ae"/>
        <w:numPr>
          <w:ilvl w:val="0"/>
          <w:numId w:val="1"/>
        </w:numPr>
        <w:spacing w:line="360" w:lineRule="auto"/>
        <w:jc w:val="both"/>
        <w:rPr>
          <w:rtl/>
        </w:rPr>
      </w:pPr>
      <w:r>
        <w:rPr>
          <w:rFonts w:hint="cs"/>
          <w:rtl/>
        </w:rPr>
        <w:t>המשיב אינו חולק גם כי התקיימה בנוכחות שני הצדדים פגישת מהו"ת ביחידת הסיוע שליד בית הדין (ראו: ס' 32 לתגובה).</w:t>
      </w:r>
    </w:p>
    <w:p w:rsidR="00F97D0F" w:rsidRDefault="00F97D0F" w:rsidP="00F97D0F">
      <w:pPr>
        <w:pStyle w:val="ae"/>
      </w:pPr>
    </w:p>
    <w:p w:rsidR="00F97D0F" w:rsidRDefault="00F97D0F" w:rsidP="00F97D0F">
      <w:pPr>
        <w:pStyle w:val="ae"/>
        <w:numPr>
          <w:ilvl w:val="0"/>
          <w:numId w:val="1"/>
        </w:numPr>
        <w:spacing w:line="360" w:lineRule="auto"/>
        <w:jc w:val="both"/>
        <w:rPr>
          <w:rtl/>
        </w:rPr>
      </w:pPr>
      <w:r>
        <w:rPr>
          <w:rFonts w:hint="cs"/>
          <w:rtl/>
        </w:rPr>
        <w:t>במצב דברים זה, כאשר ההליך הנוסף ליישוב סכסוך מצוי בעיצומו, לא ניתן היה להגיש את התביעה, מבלי שהוגשה לערכאה המוסמכת והתקבלה בקשה לקיצור תקופת עיכוב ההליכים (ראו: תקנות 16 (א) ו- 16 (א) (3) לתקנות).</w:t>
      </w:r>
    </w:p>
    <w:p w:rsidR="00F97D0F" w:rsidRDefault="00F97D0F" w:rsidP="00F97D0F">
      <w:pPr>
        <w:pStyle w:val="ae"/>
        <w:rPr>
          <w:rtl/>
        </w:rPr>
      </w:pPr>
    </w:p>
    <w:p w:rsidR="00F97D0F" w:rsidRDefault="00F97D0F" w:rsidP="00F97D0F">
      <w:pPr>
        <w:pStyle w:val="ae"/>
        <w:rPr>
          <w:rtl/>
        </w:rPr>
      </w:pPr>
    </w:p>
    <w:p w:rsidR="00F97D0F" w:rsidRDefault="00F97D0F" w:rsidP="00F97D0F">
      <w:pPr>
        <w:pStyle w:val="ae"/>
        <w:rPr>
          <w:rtl/>
        </w:rPr>
      </w:pPr>
    </w:p>
    <w:p w:rsidR="00F97D0F" w:rsidRDefault="00F97D0F" w:rsidP="00F97D0F">
      <w:pPr>
        <w:pStyle w:val="ae"/>
      </w:pPr>
    </w:p>
    <w:p w:rsidR="00F97D0F" w:rsidRDefault="00F97D0F" w:rsidP="00F97D0F">
      <w:pPr>
        <w:pStyle w:val="ae"/>
        <w:numPr>
          <w:ilvl w:val="0"/>
          <w:numId w:val="1"/>
        </w:numPr>
        <w:spacing w:line="360" w:lineRule="auto"/>
        <w:jc w:val="both"/>
        <w:rPr>
          <w:rtl/>
        </w:rPr>
      </w:pPr>
      <w:r>
        <w:rPr>
          <w:rFonts w:hint="cs"/>
          <w:rtl/>
        </w:rPr>
        <w:lastRenderedPageBreak/>
        <w:t xml:space="preserve">לא נעלמה מעיניי טענת המשיב ולפיה העובדות </w:t>
      </w:r>
      <w:r>
        <w:rPr>
          <w:rFonts w:hint="cs"/>
          <w:b/>
          <w:bCs/>
          <w:rtl/>
        </w:rPr>
        <w:t>בבע"מ פלוני</w:t>
      </w:r>
      <w:r>
        <w:rPr>
          <w:rFonts w:hint="cs"/>
          <w:rtl/>
        </w:rPr>
        <w:t xml:space="preserve"> היו שונות מאלה שבמקרה שלפניי, אך לא מצאתי ממש בטענה זו. העובדה כי </w:t>
      </w:r>
      <w:r>
        <w:rPr>
          <w:rFonts w:hint="cs"/>
          <w:b/>
          <w:bCs/>
          <w:rtl/>
        </w:rPr>
        <w:t>בבע"מ פלוני</w:t>
      </w:r>
      <w:r>
        <w:rPr>
          <w:rFonts w:hint="cs"/>
          <w:rtl/>
        </w:rPr>
        <w:t xml:space="preserve"> האישה נקטה בהליך יישוב סכסוך נוסף בבית המשפט ולא בבית הדין וכי לאחר שהסתיימה תקופת עיכוב ההליכים, האישה לא מיצתה את הזכות להגיש את תביעותיה, איננה משנה את המסקנה ולפיה, דרך המלך היא הגשת בקשה לקיצור תקופת עיכוב ההליכים ולא הגשת תביעה, תוך התעלמות מקיומו של הליך ליישוב סכסוך.</w:t>
      </w:r>
    </w:p>
    <w:p w:rsidR="00F97D0F" w:rsidRDefault="00F97D0F" w:rsidP="00F97D0F">
      <w:pPr>
        <w:pStyle w:val="ae"/>
      </w:pPr>
    </w:p>
    <w:p w:rsidR="00F97D0F" w:rsidRDefault="00F97D0F" w:rsidP="00F97D0F">
      <w:pPr>
        <w:pStyle w:val="ae"/>
        <w:numPr>
          <w:ilvl w:val="0"/>
          <w:numId w:val="1"/>
        </w:numPr>
        <w:spacing w:line="360" w:lineRule="auto"/>
        <w:jc w:val="both"/>
        <w:rPr>
          <w:rtl/>
        </w:rPr>
      </w:pPr>
      <w:r>
        <w:rPr>
          <w:rFonts w:hint="cs"/>
          <w:rtl/>
        </w:rPr>
        <w:t xml:space="preserve">כן לא נעלמה מעיניי טענת המשיב כי ההליך הנוסף ליישוב סכסוך הוגש מטעמים זרים, מתוך מטרה לחסום את דרכו של המשיב לנהל את ההליכים בבית המשפט (ראו: ס' 30 לתגובה). </w:t>
      </w:r>
    </w:p>
    <w:p w:rsidR="00F97D0F" w:rsidRDefault="00F97D0F" w:rsidP="00F97D0F">
      <w:pPr>
        <w:pStyle w:val="ae"/>
      </w:pPr>
    </w:p>
    <w:p w:rsidR="00F97D0F" w:rsidRDefault="00F97D0F" w:rsidP="00F97D0F">
      <w:pPr>
        <w:pStyle w:val="ae"/>
        <w:numPr>
          <w:ilvl w:val="0"/>
          <w:numId w:val="1"/>
        </w:numPr>
        <w:spacing w:line="360" w:lineRule="auto"/>
        <w:jc w:val="both"/>
        <w:rPr>
          <w:rtl/>
        </w:rPr>
      </w:pPr>
      <w:r>
        <w:rPr>
          <w:rFonts w:hint="cs"/>
          <w:b/>
          <w:bCs/>
          <w:rtl/>
        </w:rPr>
        <w:t>בבע"מ פלוני</w:t>
      </w:r>
      <w:r>
        <w:rPr>
          <w:rFonts w:hint="cs"/>
          <w:rtl/>
        </w:rPr>
        <w:t xml:space="preserve"> ניתן מענה לקושי זה ונקבע כי:</w:t>
      </w:r>
    </w:p>
    <w:p w:rsidR="00F97D0F" w:rsidRDefault="00F97D0F" w:rsidP="00F97D0F">
      <w:pPr>
        <w:pStyle w:val="ae"/>
      </w:pPr>
    </w:p>
    <w:p w:rsidR="00F97D0F" w:rsidRDefault="00F97D0F" w:rsidP="00F97D0F">
      <w:pPr>
        <w:pStyle w:val="ae"/>
        <w:spacing w:line="360" w:lineRule="auto"/>
        <w:ind w:left="1133" w:right="567"/>
        <w:jc w:val="both"/>
        <w:rPr>
          <w:rtl/>
        </w:rPr>
      </w:pPr>
      <w:r>
        <w:rPr>
          <w:rFonts w:hint="cs"/>
          <w:shd w:val="clear" w:color="auto" w:fill="FFFFFF"/>
          <w:rtl/>
        </w:rPr>
        <w:t xml:space="preserve">"... </w:t>
      </w:r>
      <w:r>
        <w:rPr>
          <w:rFonts w:hint="cs"/>
          <w:i/>
          <w:iCs/>
          <w:shd w:val="clear" w:color="auto" w:fill="FFFFFF"/>
          <w:rtl/>
        </w:rPr>
        <w:t>נוכח האמור עלולה אמנם להתעורר בעייתיות מסוימת ביחס לתקופת 15 הימים שבהם ניתנת עדיפות למי שהגיש את הבקשה ליישוב סכסוך בהגשת תביעה לערכאה המוסמכת. דומה כי לשון החוק כפשוטה מצביעה על כך שלכאורה פרק זמן זה יעמוד בעינו גם במצב שבו תקופת עיכוב ההליכים קוצרה. בהינתן "מירוץ הסמכויות" החולש על דיני המשפחה בישראל, יכולות להיות לכך השלכות משמעותיות על הצדדים. לא מן הנמנע כי בית המשפט יוכל לתת דעתו לשאלה האם השימוש בכלי של בקשות חוזרות ליישוב סכסוך נעשה באופן "טקטי", ולתת לכך את המשקל המתאים בכפוף לעקרון העל של תום-לב דיוני</w:t>
      </w:r>
      <w:r>
        <w:rPr>
          <w:rFonts w:hint="cs"/>
          <w:shd w:val="clear" w:color="auto" w:fill="FFFFFF"/>
          <w:rtl/>
        </w:rPr>
        <w:t>" (ראו: ס' 16 לבע"מ פלוני).</w:t>
      </w:r>
    </w:p>
    <w:p w:rsidR="00F97D0F" w:rsidRDefault="00F97D0F" w:rsidP="00F97D0F">
      <w:pPr>
        <w:pStyle w:val="ae"/>
        <w:spacing w:line="360" w:lineRule="auto"/>
        <w:jc w:val="both"/>
        <w:rPr>
          <w:rtl/>
        </w:rPr>
      </w:pPr>
      <w:r>
        <w:rPr>
          <w:rFonts w:hint="cs"/>
          <w:rtl/>
        </w:rPr>
        <w:t xml:space="preserve"> </w:t>
      </w:r>
    </w:p>
    <w:p w:rsidR="00F97D0F" w:rsidRDefault="00F97D0F" w:rsidP="00F97D0F">
      <w:pPr>
        <w:pStyle w:val="ae"/>
        <w:numPr>
          <w:ilvl w:val="0"/>
          <w:numId w:val="1"/>
        </w:numPr>
        <w:spacing w:line="360" w:lineRule="auto"/>
        <w:jc w:val="both"/>
        <w:rPr>
          <w:rtl/>
        </w:rPr>
      </w:pPr>
      <w:r>
        <w:rPr>
          <w:rFonts w:hint="cs"/>
          <w:rtl/>
        </w:rPr>
        <w:t>לשון אחר, ככל שיגיש המשיב לבית הדין בקשה לקיצור תקופת עיכוב ההליכים, וככל שזו תתקבל, והמשיב יבחר להגיש מיד בסמוך לאחר מכן תביעה לבית משפט זה, יכול ובית המשפט יעניק לו את זכות הראשונים להגשת התביעה, על אף שהמבקשת היא זו שיזמה את ההליך האחרון ליישוב סכסוך, ולכאורה, זכות הראשונים נתונה בידיה.</w:t>
      </w:r>
    </w:p>
    <w:p w:rsidR="00F97D0F" w:rsidRDefault="00F97D0F" w:rsidP="00F97D0F">
      <w:pPr>
        <w:pStyle w:val="ae"/>
        <w:spacing w:line="360" w:lineRule="auto"/>
        <w:jc w:val="both"/>
      </w:pPr>
    </w:p>
    <w:p w:rsidR="00F97D0F" w:rsidRDefault="00F97D0F" w:rsidP="00F97D0F">
      <w:pPr>
        <w:pStyle w:val="ae"/>
        <w:numPr>
          <w:ilvl w:val="0"/>
          <w:numId w:val="1"/>
        </w:numPr>
        <w:spacing w:line="360" w:lineRule="auto"/>
        <w:jc w:val="both"/>
      </w:pPr>
      <w:r>
        <w:rPr>
          <w:rFonts w:hint="cs"/>
          <w:rtl/>
        </w:rPr>
        <w:t xml:space="preserve">כפועל יוצא מקבלת הטענה השנייה, כאשר אין מחלוקת כי קיים הליך יישוב סכסוך פתוח וכך גם תקופת עיכוב ההליכים עודנה "בתוקף" (ראו: ס' 3 ה' לחוק), הרי שיש לקבל גם את הטענה השלישית ולפיה לא ניתן היה להגיש את התביעה בתקופת עיכוב ההליכים (ראו: ס' 4 לחוק). </w:t>
      </w:r>
    </w:p>
    <w:p w:rsidR="00F97D0F" w:rsidRDefault="00F97D0F" w:rsidP="00F97D0F">
      <w:pPr>
        <w:pStyle w:val="ae"/>
        <w:spacing w:line="360" w:lineRule="auto"/>
        <w:jc w:val="both"/>
      </w:pPr>
    </w:p>
    <w:p w:rsidR="00F97D0F" w:rsidRDefault="00F97D0F" w:rsidP="00F97D0F">
      <w:pPr>
        <w:pStyle w:val="ae"/>
        <w:numPr>
          <w:ilvl w:val="0"/>
          <w:numId w:val="1"/>
        </w:numPr>
        <w:spacing w:line="360" w:lineRule="auto"/>
        <w:jc w:val="both"/>
      </w:pPr>
      <w:r>
        <w:rPr>
          <w:rFonts w:hint="cs"/>
          <w:rtl/>
        </w:rPr>
        <w:t>התוצאה היא כי הבקשה מתקבלת ואני מורה על מחיקת התביעה.</w:t>
      </w:r>
    </w:p>
    <w:p w:rsidR="00F97D0F" w:rsidRDefault="00F97D0F" w:rsidP="00F97D0F">
      <w:pPr>
        <w:pStyle w:val="ae"/>
      </w:pPr>
    </w:p>
    <w:p w:rsidR="00F97D0F" w:rsidRDefault="00F97D0F" w:rsidP="00F97D0F">
      <w:pPr>
        <w:pStyle w:val="ae"/>
        <w:numPr>
          <w:ilvl w:val="0"/>
          <w:numId w:val="1"/>
        </w:numPr>
        <w:spacing w:line="360" w:lineRule="auto"/>
        <w:jc w:val="both"/>
      </w:pPr>
      <w:r>
        <w:rPr>
          <w:rFonts w:hint="cs"/>
          <w:rtl/>
        </w:rPr>
        <w:t>לאור התוצאה, המשיב יישא בהוצאות משפט בסך של 2,000 ₪.</w:t>
      </w:r>
    </w:p>
    <w:p w:rsidR="001A594A" w:rsidRDefault="001A594A" w:rsidP="001A594A">
      <w:pPr>
        <w:pStyle w:val="ae"/>
        <w:rPr>
          <w:rtl/>
        </w:rPr>
      </w:pPr>
    </w:p>
    <w:p w:rsidR="00F97D0F" w:rsidRDefault="00F97D0F" w:rsidP="00F97D0F">
      <w:pPr>
        <w:pStyle w:val="ae"/>
        <w:numPr>
          <w:ilvl w:val="0"/>
          <w:numId w:val="1"/>
        </w:numPr>
        <w:spacing w:line="360" w:lineRule="auto"/>
        <w:jc w:val="both"/>
        <w:rPr>
          <w:b/>
          <w:bCs/>
        </w:rPr>
      </w:pPr>
      <w:r>
        <w:rPr>
          <w:rFonts w:hint="cs"/>
          <w:b/>
          <w:bCs/>
          <w:rtl/>
        </w:rPr>
        <w:t>המזכירות תסגור את התיק.</w:t>
      </w:r>
    </w:p>
    <w:p w:rsidR="001A594A" w:rsidRPr="001A594A" w:rsidRDefault="001A594A" w:rsidP="001A594A">
      <w:pPr>
        <w:pStyle w:val="ae"/>
        <w:rPr>
          <w:b/>
          <w:bCs/>
          <w:rtl/>
        </w:rPr>
      </w:pPr>
    </w:p>
    <w:p w:rsidR="001A594A" w:rsidRDefault="001A594A" w:rsidP="001A594A">
      <w:pPr>
        <w:pStyle w:val="ae"/>
        <w:numPr>
          <w:ilvl w:val="0"/>
          <w:numId w:val="1"/>
        </w:numPr>
        <w:spacing w:line="360" w:lineRule="auto"/>
        <w:jc w:val="both"/>
        <w:rPr>
          <w:rtl/>
        </w:rPr>
      </w:pPr>
      <w:r>
        <w:rPr>
          <w:rFonts w:hint="cs"/>
          <w:rtl/>
        </w:rPr>
        <w:t>ניתן לפרסם את ההחלטה בכפוף להשמטת פרטים מזהים.</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ו' תשרי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08 אוקטובר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308754563"/>
        </w:sdtPr>
        <w:sdtEndPr/>
        <w:sdtContent>
          <w:r w:rsidR="000F066F">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F97D0F">
      <w:headerReference w:type="even" r:id="rId11"/>
      <w:headerReference w:type="default" r:id="rId12"/>
      <w:footerReference w:type="even" r:id="rId13"/>
      <w:footerReference w:type="default" r:id="rId14"/>
      <w:headerReference w:type="first" r:id="rId15"/>
      <w:footerReference w:type="first" r:id="rId16"/>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66F" w:rsidRDefault="000F066F">
      <w:r>
        <w:separator/>
      </w:r>
    </w:p>
  </w:endnote>
  <w:endnote w:type="continuationSeparator" w:id="0">
    <w:p w:rsidR="000F066F" w:rsidRDefault="000F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69A" w:rsidRDefault="0007769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7769A">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7769A">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69A" w:rsidRDefault="0007769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66F" w:rsidRDefault="000F066F">
      <w:r>
        <w:separator/>
      </w:r>
    </w:p>
  </w:footnote>
  <w:footnote w:type="continuationSeparator" w:id="0">
    <w:p w:rsidR="000F066F" w:rsidRDefault="000F0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69A" w:rsidRDefault="0007769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08 אוקטובר 2024</w:t>
              </w:r>
            </w:p>
          </w:tc>
        </w:sdtContent>
      </w:sdt>
    </w:tr>
    <w:tr w:rsidR="002914D6">
      <w:trPr>
        <w:trHeight w:val="337"/>
        <w:jc w:val="center"/>
      </w:trPr>
      <w:tc>
        <w:tcPr>
          <w:tcW w:w="8721" w:type="dxa"/>
          <w:gridSpan w:val="2"/>
        </w:tcPr>
        <w:p w:rsidR="002914D6" w:rsidRDefault="0007769A" w:rsidP="001A594A">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42270-09-24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1A594A">
                <w:rPr>
                  <w:rFonts w:hint="cs"/>
                  <w:b/>
                  <w:bCs/>
                  <w:noProof w:val="0"/>
                  <w:sz w:val="26"/>
                  <w:szCs w:val="26"/>
                  <w:rtl/>
                </w:rPr>
                <w:t>פלונית נ' פלוני</w:t>
              </w:r>
            </w:sdtContent>
          </w:sdt>
        </w:p>
        <w:p w:rsidR="002914D6" w:rsidRDefault="002914D6">
          <w:pPr>
            <w:rPr>
              <w:rtl/>
            </w:rPr>
          </w:pPr>
        </w:p>
        <w:p w:rsidR="003808B5" w:rsidRDefault="003808B5">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69A" w:rsidRDefault="0007769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E13F86"/>
    <w:multiLevelType w:val="hybridMultilevel"/>
    <w:tmpl w:val="E786A4D2"/>
    <w:lvl w:ilvl="0" w:tplc="A720E83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6530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65303&amp;lt;/CaseID&amp;gt;_x000d__x000a_        &amp;lt;CaseMonth&amp;gt;9&amp;lt;/CaseMonth&amp;gt;_x000d__x000a_        &amp;lt;CaseYear&amp;gt;2024&amp;lt;/CaseYear&amp;gt;_x000d__x000a_        &amp;lt;CaseNumber&amp;gt;42270&amp;lt;/CaseNumber&amp;gt;_x000d__x000a_        &amp;lt;NumeratorGroupID&amp;gt;1&amp;lt;/NumeratorGroupID&amp;gt;_x000d__x000a_        &amp;lt;CaseName&amp;gt;בן אריה נ&amp;#39; גיגי&amp;lt;/CaseName&amp;gt;_x000d__x000a_        &amp;lt;CourtID&amp;gt;30&amp;lt;/CourtID&amp;gt;_x000d__x000a_        &amp;lt;CaseTypeID&amp;gt;10262&amp;lt;/CaseTypeID&amp;gt;_x000d__x000a_        &amp;lt;CaseInterestID&amp;gt;10118&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270-09-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1&amp;lt;/CaseNextDeterminingTask&amp;gt;_x000d__x000a_        &amp;lt;TemporaryAidStatus /&amp;gt;_x000d__x000a_        &amp;lt;CaseOpenDate&amp;gt;2024-09-16T11:4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65303&amp;lt;/CaseID&amp;gt;_x000d__x000a_        &amp;lt;CaseMonth&amp;gt;9&amp;lt;/CaseMonth&amp;gt;_x000d__x000a_        &amp;lt;CaseYear&amp;gt;2024&amp;lt;/CaseYear&amp;gt;_x000d__x000a_        &amp;lt;CaseNumber&amp;gt;42270&amp;lt;/CaseNumber&amp;gt;_x000d__x000a_        &amp;lt;NumeratorGroupID&amp;gt;1&amp;lt;/NumeratorGroupID&amp;gt;_x000d__x000a_        &amp;lt;CaseName&amp;gt;בן אריה נ&amp;#39; גיגי&amp;lt;/CaseName&amp;gt;_x000d__x000a_        &amp;lt;CourtID&amp;gt;30&amp;lt;/CourtID&amp;gt;_x000d__x000a_        &amp;lt;CaseTypeID&amp;gt;10262&amp;lt;/CaseTypeID&amp;gt;_x000d__x000a_        &amp;lt;CaseInterestID&amp;gt;10118&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270-09-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9-16T11:4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08T11:04:13.4416167+03:00&amp;lt;/DecisionStatusChangeDate&amp;gt;_x000d__x000a_        &amp;lt;DecisionSignatureDate&amp;gt;2024-10-08T11:04:13.4416167+03:00&amp;lt;/DecisionSignatureDate&amp;gt;_x000d__x000a_        &amp;lt;DecisionSignatureUserID&amp;gt;306840554@GOV.IL&amp;lt;/DecisionSignatureUserID&amp;gt;_x000d__x000a_        &amp;lt;DecisionCreateDate&amp;gt;2024-10-08T11:04:13.4416167+03:00&amp;lt;/DecisionCreateDate&amp;gt;_x000d__x000a_        &amp;lt;DecisionChangeDate&amp;gt;2024-10-08T11:04:13.4416167+03: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6530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30"/>
    <w:docVar w:name="NGCS.TemplateProceedingID" w:val="3"/>
    <w:docVar w:name="SelectedDocumentID" w:val="457082943"/>
    <w:docVar w:name="WordClientAssemblyName" w:val="NGCS.Decision.ClientWordBL"/>
    <w:docVar w:name="WordClientClassName" w:val="NGCS.Decision.ClientWordBL.DecisionClient"/>
  </w:docVars>
  <w:rsids>
    <w:rsidRoot w:val="002914D6"/>
    <w:rsid w:val="00011212"/>
    <w:rsid w:val="0007769A"/>
    <w:rsid w:val="000F066F"/>
    <w:rsid w:val="00100028"/>
    <w:rsid w:val="0014058F"/>
    <w:rsid w:val="0019474B"/>
    <w:rsid w:val="001A594A"/>
    <w:rsid w:val="00273D47"/>
    <w:rsid w:val="002856D3"/>
    <w:rsid w:val="002914D6"/>
    <w:rsid w:val="002F5307"/>
    <w:rsid w:val="003808B5"/>
    <w:rsid w:val="003A0652"/>
    <w:rsid w:val="00424C05"/>
    <w:rsid w:val="004F4787"/>
    <w:rsid w:val="00530E94"/>
    <w:rsid w:val="005E66BB"/>
    <w:rsid w:val="00822AA5"/>
    <w:rsid w:val="008E122B"/>
    <w:rsid w:val="00904FA7"/>
    <w:rsid w:val="00921E03"/>
    <w:rsid w:val="009A04C9"/>
    <w:rsid w:val="009D1711"/>
    <w:rsid w:val="00A7661B"/>
    <w:rsid w:val="00B234CE"/>
    <w:rsid w:val="00B31305"/>
    <w:rsid w:val="00CC29C2"/>
    <w:rsid w:val="00CE7F78"/>
    <w:rsid w:val="00DA714E"/>
    <w:rsid w:val="00E72C9F"/>
    <w:rsid w:val="00EC118E"/>
    <w:rsid w:val="00F50E07"/>
    <w:rsid w:val="00F863E1"/>
    <w:rsid w:val="00F97D0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F97D0F"/>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50097004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ישראל קדמי</FullName>
        <FirstName>ישראל</FirstName>
        <LastName>קדמי</LastName>
        <PartyPropertyName/>
        <AuthenticationTypeAndNumber>מ.ר. 56957</AuthenticationTypeAndNumber>
        <RepresentatedOrRepresentativesNames>מעיין גיגי בן אריה</RepresentatedOrRepresentativesNames>
        <RepresentatedOrRepresentativesCount>1</RepresentatedOrRepresentativesCount>
        <InvitedBy/>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277803926</CasePartyID>
        <PartyTypeID>2</PartyTypeID>
        <ActivityStatusID>1</ActivityStatusID>
        <PartyAliasID>21</PartyAliasID>
        <PartyAliasName>בא כוח נתבעים</PartyAliasName>
        <LegalEntityID>70173742</LegalEntityID>
        <CaseLegalEntityID>132381367</CaseLegalEntityID>
        <AuthenticationTypeID>4</AuthenticationTypeID>
        <AuthenticationTypeName>מ.ר.</AuthenticationTypeName>
        <LegalEntityNumber>56957</LegalEntityNumber>
        <IsMainPartyType>true</IsMainPartyType>
        <CaseDisplayIdentifier>42270-09-24</CaseDisplayIdentifier>
        <CaseTypeID>10262</CaseTypeID>
        <CaseTypeName>תביעה לאחר הסדר התדיינויות במשפחה (תלה"מ)</CaseTypeName>
        <CaseName>בן אריה נ' גיגי</CaseName>
        <FullAddress>בודנהימר 4 ירושלים </FullAddress>
        <EmailAddress>israelkedmi@gmail.com</EmailAddress>
        <MotionID>0</MotionID>
        <CasePleaID>0</CasePleaID>
        <LinkedCaseID>0</LinkedCaseID>
        <PartyID>2</PartyID>
        <CasePartyCategoryID>2</CasePartyCategoryID>
        <LegalEntityAddressID>82205129</LegalEntityAddressID>
        <LegalEntityEmailAddressID>67910401</LegalEntityEmailAddressID>
        <PleaTypeID>4</PleaTypeID>
        <LawyerOfficeName>משרד עו"ד ישראל קדמי</LawyerOfficeName>
        <LawyerOfficeID>70173743</LawyerOfficeID>
        <GroupPartyAlias/>
        <IsConverted>false</IsConverted>
        <LegalEntityNameID>72589520</LegalEntityNameID>
        <RepresentatedNamesOfAssistant/>
        <LegalEntityTypeID>4</LegalEntityTypeID>
        <IsVerdictExists>false</IsVerdictExists>
        <IsAsirAzir>false</IsAsirAzir>
        <MainAndSecSpec/>
        <IsPublicationProhibited>false</IsPublicationProhibited>
        <PublicationProhibitedFullName>ישראל קדמי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כפיר בן אריה</FullName>
        <FirstName>כפיר</FirstName>
        <LastName>בן אריה</LastName>
        <PartyPropertyName/>
        <AuthenticationTypeAndNumber>ת"ז 300739380</AuthenticationTypeAndNumber>
        <RepresentatedOrRepresentativesNames>יפעת שכטר לוי</RepresentatedOrRepresentativesNames>
        <RepresentatedOrRepresentativesCount>1</RepresentatedOrRepresentativesCount>
        <InvitedBy/>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277522141</CasePartyID>
        <PartyTypeID>1</PartyTypeID>
        <ActivityStatusID>1</ActivityStatusID>
        <PartyAliasID>1</PartyAliasID>
        <PartyAliasName>תובע</PartyAliasName>
        <OrdinalNumber>1</OrdinalNumber>
        <LegalEntityID>72326485</LegalEntityID>
        <CaseLegalEntityID>132278836</CaseLegalEntityID>
        <AuthenticationTypeID>1</AuthenticationTypeID>
        <AuthenticationTypeName>ת"ז</AuthenticationTypeName>
        <LegalEntityNumber>300739380</LegalEntityNumber>
        <IsMainPartyType>true</IsMainPartyType>
        <CaseDisplayIdentifier>42270-09-24</CaseDisplayIdentifier>
        <CaseTypeID>10262</CaseTypeID>
        <CaseTypeName>תביעה לאחר הסדר התדיינויות במשפחה (תלה"מ)</CaseTypeName>
        <CaseName>בן אריה נ' גיגי</CaseName>
        <FullAddress>החלמית 8\2 ירושלים </FullAddress>
        <MotionID>0</MotionID>
        <CasePleaID>0</CasePleaID>
        <FatherName>משה</FatherName>
        <LinkedCaseID>0</LinkedCaseID>
        <PartyID>1</PartyID>
        <CasePartyCategoryID>2</CasePartyCategoryID>
        <LegalEntityAddressID>90958119</LegalEntityAddressID>
        <GrandfatherName/>
        <DrivingLicenseNumber>8983453</DrivingLicenseNumber>
        <PleaTypeID>4</PleaTypeID>
        <GroupPartyAlias>תובעים</GroupPartyAlias>
        <IsConverted>false</IsConverted>
        <LegalEntityRegisteredNameID>7472360</LegalEntityRegisteredNameID>
        <LegalEntityNameID>98219565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כפיר בן אריה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יפעת שכטר לוי</FullName>
        <FirstName>יפעת</FirstName>
        <LastName>שכטר לוי</LastName>
        <PartyPropertyName/>
        <AuthenticationTypeAndNumber>מ.ר. 57619</AuthenticationTypeAndNumber>
        <RepresentatedOrRepresentativesNames>כפיר בן אריה</RepresentatedOrRepresentativesNames>
        <RepresentatedOrRepresentativesCount>1</RepresentatedOrRepresentativesCount>
        <InvitedBy/>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277522142</CasePartyID>
        <PartyTypeID>2</PartyTypeID>
        <ActivityStatusID>1</ActivityStatusID>
        <PartyAliasID>20</PartyAliasID>
        <PartyAliasName>בא כוח תובעים</PartyAliasName>
        <OrdinalNumber>1</OrdinalNumber>
        <LegalEntityID>81741942</LegalEntityID>
        <CaseLegalEntityID>132278837</CaseLegalEntityID>
        <AuthenticationTypeID>4</AuthenticationTypeID>
        <AuthenticationTypeName>מ.ר.</AuthenticationTypeName>
        <LegalEntityNumber>57619</LegalEntityNumber>
        <IsMainPartyType>true</IsMainPartyType>
        <CaseDisplayIdentifier>42270-09-24</CaseDisplayIdentifier>
        <CaseTypeID>10262</CaseTypeID>
        <CaseTypeName>תביעה לאחר הסדר התדיינויות במשפחה (תלה"מ)</CaseTypeName>
        <CaseName>בן אריה נ' גיגי</CaseName>
        <FullAddress>מלצ'ט 23 תל אביב -יפו </FullAddress>
        <EmailAddress>ifatshechter@gmail.com</EmailAddress>
        <MotionID>0</MotionID>
        <CasePleaID>0</CasePleaID>
        <LinkedCaseID>0</LinkedCaseID>
        <PartyID>1</PartyID>
        <CasePartyCategoryID>2</CasePartyCategoryID>
        <LegalEntityAddressID>88976139</LegalEntityAddressID>
        <LegalEntityEmailAddressID>68355516</LegalEntityEmailAddressID>
        <PleaTypeID>4</PleaTypeID>
        <LawyerOfficeName>משרד עו"ד יפעת  שכטר לוי </LawyerOfficeName>
        <LawyerOfficeID>81741943</LawyerOfficeID>
        <GroupPartyAlias/>
        <IsConverted>false</IsConverted>
        <LegalEntityNameID>96169498</LegalEntityNameID>
        <RepresentatedNamesOfAssistant/>
        <LegalEntityTypeID>4</LegalEntityTypeID>
        <IsVerdictExists>false</IsVerdictExists>
        <IsAsirAzir>false</IsAsirAzir>
        <MainAndSecSpec/>
        <IsPublicationProhibited>false</IsPublicationProhibited>
        <PublicationProhibitedFullName>יפעת שכטר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מעיין גיגי בן אריה</FullName>
        <FirstName>מעיין</FirstName>
        <LastName>בן אריה</LastName>
        <PartyPropertyName/>
        <AuthenticationTypeAndNumber>ת"ז 021994132</AuthenticationTypeAndNumber>
        <RepresentatedOrRepresentativesNames>ישראל קדמי</RepresentatedOrRepresentativesNames>
        <RepresentatedOrRepresentativesCount>1</RepresentatedOrRepresentativesCount>
        <InvitedBy/>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277522143</CasePartyID>
        <PartyTypeID>1</PartyTypeID>
        <ActivityStatusID>1</ActivityStatusID>
        <PartyAliasID>2</PartyAliasID>
        <PartyAliasName>נתבע</PartyAliasName>
        <OrdinalNumber>1</OrdinalNumber>
        <LegalEntityID>46227358</LegalEntityID>
        <CaseLegalEntityID>132278838</CaseLegalEntityID>
        <AuthenticationTypeID>1</AuthenticationTypeID>
        <AuthenticationTypeName>ת"ז</AuthenticationTypeName>
        <LegalEntityNumber>021994132</LegalEntityNumber>
        <IsMainPartyType>true</IsMainPartyType>
        <CaseDisplayIdentifier>42270-09-24</CaseDisplayIdentifier>
        <CaseTypeID>10262</CaseTypeID>
        <CaseTypeName>תביעה לאחר הסדר התדיינויות במשפחה (תלה"מ)</CaseTypeName>
        <CaseName>בן אריה נ' גיגי</CaseName>
        <FullAddress>אבנר חי שאקי 32 ירושלים </FullAddress>
        <MotionID>0</MotionID>
        <CasePleaID>0</CasePleaID>
        <FatherName>שמואל</FatherName>
        <LinkedCaseID>0</LinkedCaseID>
        <PartyID>2</PartyID>
        <CasePartyCategoryID>2</CasePartyCategoryID>
        <LegalEntityAddressID>90958120</LegalEntityAddressID>
        <PleaTypeID>4</PleaTypeID>
        <GroupPartyAlias>נתבעים</GroupPartyAlias>
        <IsConverted>false</IsConverted>
        <LegalEntityRegisteredNameID>10730302</LegalEntityRegisteredNameID>
        <LegalEntityNameID>98219566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מעיין גיגי בן אריה</PublicationProhibitedFullName>
      </CaseParties>
    </CasePartiesSelectionDS>
    <DecisionName>החלטה  שניתנה ע"י  פליקס גורודצקי</DecisionName>
    <CourtDisplayName>בית משפט לענייני משפחה בירושלים</CourtDisplayName>
    <IsCaseJudgePanel>false</IsCaseJudgePanel>
    <DecisionSignatureDate>2024-10-08T11:04:13.4416167+03:00</DecisionSignatureDate>
    <OpenCaseDate>2024-09-16T11:40:00+03:00</OpenCaseDate>
    <CaseFeeSum>0.000</CaseFeeSum>
    <DecisionTypeID>1</DecisionTypeID>
    <DecisionSignatureUserName>פליקס גורודצקי</DecisionSignatureUserName>
    <DecisionSignatureDateHebrew>2024-10-08T11:04:13.4416167+03:00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בן אריה נ' גיגי</CaseName>
    <DecisionNumberInCase>5</DecisionNumberInCase>
  </dt_Decision>
  <dt_DecisionCase>
    <DecisionID>0</DecisionID>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ישראל קדמי</FullName>
        <FirstName>ישראל</FirstName>
        <LastName>קדמי</LastName>
        <PartyPropertyName/>
        <AuthenticationTypeAndNumber>מ.ר. 56957</AuthenticationTypeAndNumber>
        <RepresentatedOrRepresentativesNames>מעיין גיגי בן אריה</RepresentatedOrRepresentativesNames>
        <RepresentatedOrRepresentativesCount>1</RepresentatedOrRepresentativesCount>
        <InvitedBy/>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277803926</CasePartyID>
        <PartyTypeID>2</PartyTypeID>
        <ActivityStatusID>1</ActivityStatusID>
        <PartyAliasID>21</PartyAliasID>
        <PartyAliasName>בא כוח נתבעים</PartyAliasName>
        <LegalEntityID>70173742</LegalEntityID>
        <CaseLegalEntityID>132381367</CaseLegalEntityID>
        <AuthenticationTypeID>4</AuthenticationTypeID>
        <AuthenticationTypeName>מ.ר.</AuthenticationTypeName>
        <LegalEntityNumber>56957</LegalEntityNumber>
        <IsMainPartyType>true</IsMainPartyType>
        <CaseDisplayIdentifier>42270-09-24</CaseDisplayIdentifier>
        <CaseTypeID>10262</CaseTypeID>
        <CaseTypeName>תביעה לאחר הסדר התדיינויות במשפחה (תלה"מ)</CaseTypeName>
        <CaseName>בן אריה נ' גיגי</CaseName>
        <FullAddress>בודנהימר 4 ירושלים </FullAddress>
        <EmailAddress>israelkedmi@gmail.com</EmailAddress>
        <MotionID>0</MotionID>
        <CasePleaID>0</CasePleaID>
        <LinkedCaseID>0</LinkedCaseID>
        <PartyID>2</PartyID>
        <CasePartyCategoryID>2</CasePartyCategoryID>
        <LegalEntityAddressID>82205129</LegalEntityAddressID>
        <LegalEntityEmailAddressID>67910401</LegalEntityEmailAddressID>
        <PleaTypeID>4</PleaTypeID>
        <LawyerOfficeName>משרד עו"ד ישראל קדמי</LawyerOfficeName>
        <LawyerOfficeID>70173743</LawyerOfficeID>
        <GroupPartyAlias/>
        <IsConverted>false</IsConverted>
        <LegalEntityNameID>72589520</LegalEntityNameID>
        <RepresentatedNamesOfAssistant/>
        <LegalEntityTypeID>4</LegalEntityTypeID>
        <IsVerdictExists>false</IsVerdictExists>
        <IsAsirAzir>false</IsAsirAzir>
        <MainAndSecSpec/>
        <IsPublicationProhibited>false</IsPublicationProhibited>
        <PublicationProhibitedFullName>ישראל קדמי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כפיר בן אריה</FullName>
        <FirstName>כפיר</FirstName>
        <LastName>בן אריה</LastName>
        <PartyPropertyName/>
        <AuthenticationTypeAndNumber>ת"ז 300739380</AuthenticationTypeAndNumber>
        <RepresentatedOrRepresentativesNames>יפעת שכטר לוי</RepresentatedOrRepresentativesNames>
        <RepresentatedOrRepresentativesCount>1</RepresentatedOrRepresentativesCount>
        <InvitedBy/>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277522141</CasePartyID>
        <PartyTypeID>1</PartyTypeID>
        <ActivityStatusID>1</ActivityStatusID>
        <PartyAliasID>1</PartyAliasID>
        <PartyAliasName>תובע</PartyAliasName>
        <OrdinalNumber>1</OrdinalNumber>
        <LegalEntityID>72326485</LegalEntityID>
        <CaseLegalEntityID>132278836</CaseLegalEntityID>
        <AuthenticationTypeID>1</AuthenticationTypeID>
        <AuthenticationTypeName>ת"ז</AuthenticationTypeName>
        <LegalEntityNumber>300739380</LegalEntityNumber>
        <IsMainPartyType>true</IsMainPartyType>
        <CaseDisplayIdentifier>42270-09-24</CaseDisplayIdentifier>
        <CaseTypeID>10262</CaseTypeID>
        <CaseTypeName>תביעה לאחר הסדר התדיינויות במשפחה (תלה"מ)</CaseTypeName>
        <CaseName>בן אריה נ' גיגי</CaseName>
        <FullAddress>החלמית 8\2 ירושלים </FullAddress>
        <MotionID>0</MotionID>
        <CasePleaID>0</CasePleaID>
        <FatherName>משה</FatherName>
        <LinkedCaseID>0</LinkedCaseID>
        <PartyID>1</PartyID>
        <CasePartyCategoryID>2</CasePartyCategoryID>
        <LegalEntityAddressID>90958119</LegalEntityAddressID>
        <GrandfatherName/>
        <DrivingLicenseNumber>8983453</DrivingLicenseNumber>
        <PleaTypeID>4</PleaTypeID>
        <GroupPartyAlias>תובעים</GroupPartyAlias>
        <IsConverted>false</IsConverted>
        <LegalEntityRegisteredNameID>7472360</LegalEntityRegisteredNameID>
        <LegalEntityNameID>98219565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כפיר בן אריה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יפעת שכטר לוי</FullName>
        <FirstName>יפעת</FirstName>
        <LastName>שכטר לוי</LastName>
        <PartyPropertyName/>
        <AuthenticationTypeAndNumber>מ.ר. 57619</AuthenticationTypeAndNumber>
        <RepresentatedOrRepresentativesNames>כפיר בן אריה</RepresentatedOrRepresentativesNames>
        <RepresentatedOrRepresentativesCount>1</RepresentatedOrRepresentativesCount>
        <InvitedBy/>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277522142</CasePartyID>
        <PartyTypeID>2</PartyTypeID>
        <ActivityStatusID>1</ActivityStatusID>
        <PartyAliasID>20</PartyAliasID>
        <PartyAliasName>בא כוח תובעים</PartyAliasName>
        <OrdinalNumber>1</OrdinalNumber>
        <LegalEntityID>81741942</LegalEntityID>
        <CaseLegalEntityID>132278837</CaseLegalEntityID>
        <AuthenticationTypeID>4</AuthenticationTypeID>
        <AuthenticationTypeName>מ.ר.</AuthenticationTypeName>
        <LegalEntityNumber>57619</LegalEntityNumber>
        <IsMainPartyType>true</IsMainPartyType>
        <CaseDisplayIdentifier>42270-09-24</CaseDisplayIdentifier>
        <CaseTypeID>10262</CaseTypeID>
        <CaseTypeName>תביעה לאחר הסדר התדיינויות במשפחה (תלה"מ)</CaseTypeName>
        <CaseName>בן אריה נ' גיגי</CaseName>
        <FullAddress>מלצ'ט 23 תל אביב -יפו </FullAddress>
        <EmailAddress>ifatshechter@gmail.com</EmailAddress>
        <MotionID>0</MotionID>
        <CasePleaID>0</CasePleaID>
        <LinkedCaseID>0</LinkedCaseID>
        <PartyID>1</PartyID>
        <CasePartyCategoryID>2</CasePartyCategoryID>
        <LegalEntityAddressID>88976139</LegalEntityAddressID>
        <LegalEntityEmailAddressID>68355516</LegalEntityEmailAddressID>
        <PleaTypeID>4</PleaTypeID>
        <LawyerOfficeName>משרד עו"ד יפעת  שכטר לוי </LawyerOfficeName>
        <LawyerOfficeID>81741943</LawyerOfficeID>
        <GroupPartyAlias/>
        <IsConverted>false</IsConverted>
        <LegalEntityNameID>96169498</LegalEntityNameID>
        <RepresentatedNamesOfAssistant/>
        <LegalEntityTypeID>4</LegalEntityTypeID>
        <IsVerdictExists>false</IsVerdictExists>
        <IsAsirAzir>false</IsAsirAzir>
        <MainAndSecSpec/>
        <IsPublicationProhibited>false</IsPublicationProhibited>
        <PublicationProhibitedFullName>יפעת שכטר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מעיין גיגי בן אריה</FullName>
        <FirstName>מעיין</FirstName>
        <LastName>בן אריה</LastName>
        <PartyPropertyName/>
        <AuthenticationTypeAndNumber>ת"ז 021994132</AuthenticationTypeAndNumber>
        <RepresentatedOrRepresentativesNames>ישראל קדמי</RepresentatedOrRepresentativesNames>
        <RepresentatedOrRepresentativesCount>1</RepresentatedOrRepresentativesCount>
        <InvitedBy/>
        <CaseID>81965303</CaseID>
        <CaseJudicialPersonPresentationDS>
          <CaseJudicalPersonActive>
            <CaseID>81965303</CaseID>
            <JudicialPersonID>306840554@GOV.IL</JudicialPersonID>
            <JudicialPersonTypeID>1</JudicialPersonTypeID>
            <JudicialTypeID>1</JudicialTypeID>
            <IsChairman>false</IsChairman>
            <TreatmentStartDate>2024-09-16T12:07:42.77+03:00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277522143</CasePartyID>
        <PartyTypeID>1</PartyTypeID>
        <ActivityStatusID>1</ActivityStatusID>
        <PartyAliasID>2</PartyAliasID>
        <PartyAliasName>נתבע</PartyAliasName>
        <OrdinalNumber>1</OrdinalNumber>
        <LegalEntityID>46227358</LegalEntityID>
        <CaseLegalEntityID>132278838</CaseLegalEntityID>
        <AuthenticationTypeID>1</AuthenticationTypeID>
        <AuthenticationTypeName>ת"ז</AuthenticationTypeName>
        <LegalEntityNumber>021994132</LegalEntityNumber>
        <IsMainPartyType>true</IsMainPartyType>
        <CaseDisplayIdentifier>42270-09-24</CaseDisplayIdentifier>
        <CaseTypeID>10262</CaseTypeID>
        <CaseTypeName>תביעה לאחר הסדר התדיינויות במשפחה (תלה"מ)</CaseTypeName>
        <CaseName>בן אריה נ' גיגי</CaseName>
        <FullAddress>אבנר חי שאקי 32 ירושלים </FullAddress>
        <MotionID>0</MotionID>
        <CasePleaID>0</CasePleaID>
        <FatherName>שמואל</FatherName>
        <LinkedCaseID>0</LinkedCaseID>
        <PartyID>2</PartyID>
        <CasePartyCategoryID>2</CasePartyCategoryID>
        <LegalEntityAddressID>90958120</LegalEntityAddressID>
        <PleaTypeID>4</PleaTypeID>
        <GroupPartyAlias>נתבעים</GroupPartyAlias>
        <IsConverted>false</IsConverted>
        <LegalEntityRegisteredNameID>10730302</LegalEntityRegisteredNameID>
        <LegalEntityNameID>98219566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מעיין גיגי בן אריה</PublicationProhibitedFullName>
      </CaseParties>
    </CasePartiesSelectionDS>
    <CaseName>בן אריה נ' גיגי</CaseName>
    <CaseDisplayIdentifier>42270-09-24</CaseDisplayIdentifier>
    <CaseInterestID>10118</CaseInterestID>
    <CaseTypeShortName>תלה"מ</CaseTypeShortName>
  </dt_DecisionCase>
  <dt_DecisionJudgePanel>
    <JudgeID>306840554@GOV.IL</JudgeID>
    <DisplayName>פליקס גורודצקי</DisplayName>
    <RoleName>שופט</RoleName>
    <UserTitleName>שופט</UserTitleName>
  </dt_DecisionJudgePanel>
  <dt_LegalEntityDetails>
    <Fax>02-5795955</Fax>
    <Phone>02-5345222</Phone>
    <PartyID>2</PartyID>
    <PartyTypeID>2</PartyTypeID>
    <DecisionID>0</DecisionID>
    <StreetName>בודנהימר 4</StreetName>
    <CityName>ירושלים</CityName>
    <FullName>ישראל קדמי</FullName>
    <Email>israelkedmi@gmail.com</Email>
    <IsPublicationProhibited>false</IsPublicationProhibited>
  </dt_LegalEntityDetails>
  <dt_LegalEntityDetails>
    <PartyID>1</PartyID>
    <PartyTypeID>1</PartyTypeID>
    <DecisionID>0</DecisionID>
    <StreetName>החלמית 8\2</StreetName>
    <CityName>ירושלים</CityName>
    <FullName>כפיר  בן אריה</FullName>
    <IsPublicationProhibited>false</IsPublicationProhibited>
  </dt_LegalEntityDetails>
  <dt_LegalEntityDetails>
    <Phone>054-4911912</Phone>
    <PartyID>1</PartyID>
    <PartyTypeID>2</PartyTypeID>
    <DecisionID>0</DecisionID>
    <StreetName>מלצ'ט 23</StreetName>
    <ZipCode>6382548</ZipCode>
    <CityName>תל אביב -יפו</CityName>
    <FullName>יפעת  שכטר לוי </FullName>
    <Email>ifatshechter@gmail.com</Email>
    <IsPublicationProhibited>false</IsPublicationProhibited>
  </dt_LegalEntityDetails>
  <dt_LegalEntityDetails>
    <PartyID>2</PartyID>
    <PartyTypeID>1</PartyTypeID>
    <DecisionID>0</DecisionID>
    <StreetName>אבנר חי שאקי 32</StreetName>
    <CityName>ירושלים</CityName>
    <FullName>מעיין  גיגי בן אריה </FullName>
    <IsPublicationProhibited>false</IsPublicationProhibited>
  </dt_LegalEntityDetails>
  <dt_CaseJudicalPersonActive>
    <CaseJudicalPerson>שופט פליקס גורודצקי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CC174-B307-41DC-B0EE-A0ECB63B82D8}">
  <ds:schemaRefs/>
</ds:datastoreItem>
</file>

<file path=customXml/itemProps2.xml><?xml version="1.0" encoding="utf-8"?>
<ds:datastoreItem xmlns:ds="http://schemas.openxmlformats.org/officeDocument/2006/customXml" ds:itemID="{6CD2E8D8-FDF4-41A9-98CF-73B40849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1646</Words>
  <Characters>8235</Characters>
  <Application>Microsoft Office Word</Application>
  <DocSecurity>4</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2024-11-02T16:22:00Z</cp:lastPrinted>
  <dcterms:created xsi:type="dcterms:W3CDTF">2024-11-03T11:33:00Z</dcterms:created>
  <dcterms:modified xsi:type="dcterms:W3CDTF">2024-11-03T11:33:00Z</dcterms:modified>
</cp:coreProperties>
</file>